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微软雅黑" w:hAnsi="微软雅黑" w:eastAsia="微软雅黑" w:cs="微软雅黑"/>
          <w:color w:val="013298"/>
          <w:kern w:val="0"/>
          <w:szCs w:val="21"/>
        </w:rPr>
      </w:pPr>
      <w:r>
        <w:rPr>
          <w:rFonts w:hint="eastAsia" w:ascii="微软雅黑" w:hAnsi="微软雅黑" w:eastAsia="微软雅黑" w:cs="微软雅黑"/>
          <w:color w:val="013298"/>
          <w:kern w:val="0"/>
          <w:szCs w:val="21"/>
        </w:rPr>
        <w:t>硕士研究生指导教师简介</w:t>
      </w:r>
    </w:p>
    <w:tbl>
      <w:tblPr>
        <w:tblStyle w:val="6"/>
        <w:tblW w:w="8825" w:type="dxa"/>
        <w:jc w:val="center"/>
        <w:tblCellSpacing w:w="0" w:type="dxa"/>
        <w:shd w:val="clear" w:color="auto" w:fill="FFFFFF"/>
        <w:tblLayout w:type="fixed"/>
        <w:tblCellMar>
          <w:top w:w="45" w:type="dxa"/>
          <w:left w:w="45" w:type="dxa"/>
          <w:bottom w:w="45" w:type="dxa"/>
          <w:right w:w="45" w:type="dxa"/>
        </w:tblCellMar>
      </w:tblPr>
      <w:tblGrid>
        <w:gridCol w:w="1897"/>
        <w:gridCol w:w="5191"/>
        <w:gridCol w:w="1737"/>
      </w:tblGrid>
      <w:tr>
        <w:tblPrEx>
          <w:tblCellMar>
            <w:top w:w="45" w:type="dxa"/>
            <w:left w:w="45" w:type="dxa"/>
            <w:bottom w:w="45" w:type="dxa"/>
            <w:right w:w="45" w:type="dxa"/>
          </w:tblCellMar>
        </w:tblPrEx>
        <w:trPr>
          <w:tblCellSpacing w:w="0" w:type="dxa"/>
          <w:jc w:val="center"/>
        </w:trPr>
        <w:tc>
          <w:tcPr>
            <w:tcW w:w="1897" w:type="dxa"/>
            <w:tcBorders>
              <w:top w:val="single" w:color="0033CC" w:sz="12" w:space="0"/>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5191" w:type="dxa"/>
            <w:tcBorders>
              <w:top w:val="single" w:color="0033CC" w:sz="12" w:space="0"/>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王凯林/WANG KAI LIN</w:t>
            </w:r>
          </w:p>
        </w:tc>
        <w:tc>
          <w:tcPr>
            <w:tcW w:w="1737" w:type="dxa"/>
            <w:vMerge w:val="restart"/>
            <w:tcBorders>
              <w:top w:val="single" w:color="0033CC" w:sz="12" w:space="0"/>
              <w:tl2br w:val="nil"/>
              <w:tr2bl w:val="nil"/>
            </w:tcBorders>
            <w:shd w:val="clear" w:color="auto" w:fill="FFFFFF"/>
            <w:vAlign w:val="center"/>
          </w:tcPr>
          <w:p>
            <w:pPr>
              <w:jc w:val="center"/>
              <w:rPr>
                <w:rFonts w:hint="eastAsia" w:ascii="微软雅黑" w:hAnsi="微软雅黑" w:eastAsia="微软雅黑" w:cs="微软雅黑"/>
                <w:color w:val="013298"/>
                <w:sz w:val="15"/>
                <w:szCs w:val="15"/>
                <w:lang w:eastAsia="zh-CN"/>
              </w:rPr>
            </w:pPr>
            <w:r>
              <w:rPr>
                <w:rFonts w:hint="eastAsia" w:ascii="微软雅黑" w:hAnsi="微软雅黑" w:eastAsia="微软雅黑" w:cs="微软雅黑"/>
                <w:color w:val="013298"/>
                <w:sz w:val="15"/>
                <w:szCs w:val="15"/>
                <w:lang w:eastAsia="zh-CN"/>
              </w:rPr>
              <w:drawing>
                <wp:inline distT="0" distB="0" distL="114300" distR="114300">
                  <wp:extent cx="959485" cy="1480820"/>
                  <wp:effectExtent l="0" t="0" r="5715" b="5080"/>
                  <wp:docPr id="1" name="图片 1" descr="王凯林一寸照片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凯林一寸照片 - 副本"/>
                          <pic:cNvPicPr>
                            <a:picLocks noChangeAspect="1"/>
                          </pic:cNvPicPr>
                        </pic:nvPicPr>
                        <pic:blipFill>
                          <a:blip r:embed="rId4"/>
                          <a:stretch>
                            <a:fillRect/>
                          </a:stretch>
                        </pic:blipFill>
                        <pic:spPr>
                          <a:xfrm>
                            <a:off x="0" y="0"/>
                            <a:ext cx="959485" cy="1480820"/>
                          </a:xfrm>
                          <a:prstGeom prst="rect">
                            <a:avLst/>
                          </a:prstGeom>
                        </pic:spPr>
                      </pic:pic>
                    </a:graphicData>
                  </a:graphic>
                </wp:inline>
              </w:drawing>
            </w: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职称</w:t>
            </w:r>
          </w:p>
        </w:tc>
        <w:tc>
          <w:tcPr>
            <w:tcW w:w="5191" w:type="dxa"/>
            <w:tcBorders>
              <w:tl2br w:val="nil"/>
              <w:tr2bl w:val="nil"/>
            </w:tcBorders>
            <w:shd w:val="clear" w:color="auto" w:fill="FFFFFF"/>
            <w:vAlign w:val="center"/>
          </w:tcPr>
          <w:p>
            <w:pPr>
              <w:widowControl/>
              <w:adjustRightInd w:val="0"/>
              <w:snapToGrid w:val="0"/>
              <w:jc w:val="left"/>
              <w:rPr>
                <w:rFonts w:hint="eastAsia"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正高级工程师</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年龄</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color w:val="013298"/>
                <w:kern w:val="0"/>
                <w:sz w:val="15"/>
                <w:szCs w:val="15"/>
                <w:lang w:val="en-US" w:eastAsia="zh-CN"/>
              </w:rPr>
              <w:t xml:space="preserve"> 51</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所在学院（系、所）</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b/>
                <w:color w:val="013298"/>
                <w:sz w:val="15"/>
                <w:szCs w:val="15"/>
                <w:lang w:val="en-US" w:eastAsia="zh-CN"/>
              </w:rPr>
              <w:t>天津市政工程设计研究总院有限公司</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天津市和平区营口道239号</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376175"/>
                <w:sz w:val="14"/>
                <w:szCs w:val="14"/>
                <w:lang w:val="en-US" w:eastAsia="zh-CN"/>
              </w:rPr>
            </w:pPr>
            <w:r>
              <w:rPr>
                <w:rFonts w:hint="eastAsia" w:ascii="微软雅黑" w:hAnsi="微软雅黑" w:eastAsia="微软雅黑" w:cs="微软雅黑"/>
                <w:b/>
                <w:color w:val="376175"/>
                <w:sz w:val="14"/>
                <w:szCs w:val="14"/>
                <w:lang w:val="en-US" w:eastAsia="zh-CN"/>
              </w:rPr>
              <w:t>343585893@qq.com</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18622021759</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bottom"/>
          </w:tcPr>
          <w:p>
            <w:pPr>
              <w:widowControl/>
              <w:adjustRightInd w:val="0"/>
              <w:snapToGrid w:val="0"/>
              <w:jc w:val="left"/>
              <w:rPr>
                <w:rFonts w:ascii="微软雅黑" w:hAnsi="微软雅黑" w:eastAsia="微软雅黑" w:cs="微软雅黑"/>
                <w:color w:val="013298"/>
                <w:sz w:val="15"/>
                <w:szCs w:val="15"/>
              </w:rPr>
            </w:pPr>
            <w:r>
              <w:rPr>
                <w:rStyle w:val="8"/>
                <w:rFonts w:hint="eastAsia" w:ascii="微软雅黑" w:hAnsi="微软雅黑" w:eastAsia="微软雅黑" w:cs="微软雅黑"/>
                <w:color w:val="013298"/>
                <w:kern w:val="0"/>
                <w:sz w:val="15"/>
                <w:szCs w:val="15"/>
              </w:rPr>
              <w:t>主要研究方向：</w:t>
            </w:r>
          </w:p>
        </w:tc>
      </w:tr>
      <w:tr>
        <w:tblPrEx>
          <w:shd w:val="clear" w:color="auto" w:fill="FFFFFF"/>
          <w:tblCellMar>
            <w:top w:w="45" w:type="dxa"/>
            <w:left w:w="45" w:type="dxa"/>
            <w:bottom w:w="45" w:type="dxa"/>
            <w:right w:w="45" w:type="dxa"/>
          </w:tblCellMar>
        </w:tblPrEx>
        <w:trPr>
          <w:trHeight w:val="23"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spacing w:after="78" w:afterLines="25"/>
              <w:jc w:val="left"/>
              <w:rPr>
                <w:rFonts w:hint="default" w:ascii="微软雅黑" w:hAnsi="微软雅黑" w:eastAsia="微软雅黑" w:cs="微软雅黑"/>
                <w:color w:val="013298"/>
                <w:sz w:val="15"/>
                <w:szCs w:val="15"/>
                <w:lang w:val="en-US"/>
              </w:rPr>
            </w:pPr>
            <w:r>
              <w:rPr>
                <w:rFonts w:hint="eastAsia" w:ascii="微软雅黑" w:hAnsi="微软雅黑" w:eastAsia="微软雅黑" w:cs="微软雅黑"/>
                <w:color w:val="013298"/>
                <w:kern w:val="0"/>
                <w:sz w:val="15"/>
                <w:szCs w:val="15"/>
                <w:lang w:val="en-US" w:eastAsia="zh-CN"/>
              </w:rPr>
              <w:t>景观设计；海绵城市设计</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主要学历</w:t>
            </w:r>
          </w:p>
        </w:tc>
      </w:tr>
      <w:tr>
        <w:tblPrEx>
          <w:shd w:val="clear" w:color="auto" w:fill="FFFFFF"/>
          <w:tblCellMar>
            <w:top w:w="45" w:type="dxa"/>
            <w:left w:w="45" w:type="dxa"/>
            <w:bottom w:w="45" w:type="dxa"/>
            <w:right w:w="45" w:type="dxa"/>
          </w:tblCellMar>
        </w:tblPrEx>
        <w:trPr>
          <w:trHeight w:val="10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1992.07——1996.07 东北林业大学 园林学院园林专业</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2005.03——2009.03 天津大学     建筑学院城市设计与规划专业</w:t>
            </w:r>
          </w:p>
          <w:p>
            <w:pPr>
              <w:widowControl/>
              <w:ind w:firstLine="288"/>
              <w:jc w:val="left"/>
              <w:rPr>
                <w:rFonts w:hint="eastAsia" w:ascii="微软雅黑" w:hAnsi="微软雅黑" w:eastAsia="微软雅黑" w:cs="微软雅黑"/>
                <w:color w:val="013298"/>
                <w:kern w:val="0"/>
                <w:sz w:val="15"/>
                <w:szCs w:val="15"/>
                <w:lang w:eastAsia="zh-CN"/>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主要学术经历</w:t>
            </w:r>
          </w:p>
        </w:tc>
      </w:tr>
      <w:tr>
        <w:tblPrEx>
          <w:shd w:val="clear" w:color="auto" w:fill="FFFFFF"/>
          <w:tblCellMar>
            <w:top w:w="45" w:type="dxa"/>
            <w:left w:w="45" w:type="dxa"/>
            <w:bottom w:w="45" w:type="dxa"/>
            <w:right w:w="45" w:type="dxa"/>
          </w:tblCellMar>
        </w:tblPrEx>
        <w:trPr>
          <w:trHeight w:val="103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2003.11-2021.3 天津市市政工程设计研究院</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2021.03—至今  天津市政工程设计研究总院有限公司风景园林院</w:t>
            </w:r>
          </w:p>
          <w:p>
            <w:pPr>
              <w:widowControl/>
              <w:ind w:firstLine="288"/>
              <w:jc w:val="left"/>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主要讲授课程</w:t>
            </w:r>
          </w:p>
        </w:tc>
      </w:tr>
      <w:tr>
        <w:tblPrEx>
          <w:shd w:val="clear" w:color="auto" w:fill="FFFFFF"/>
          <w:tblCellMar>
            <w:top w:w="45" w:type="dxa"/>
            <w:left w:w="45" w:type="dxa"/>
            <w:bottom w:w="45" w:type="dxa"/>
            <w:right w:w="45" w:type="dxa"/>
          </w:tblCellMar>
        </w:tblPrEx>
        <w:trPr>
          <w:trHeight w:val="7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hint="default" w:ascii="微软雅黑" w:hAnsi="微软雅黑" w:eastAsia="微软雅黑" w:cs="微软雅黑"/>
                <w:color w:val="013298"/>
                <w:sz w:val="15"/>
                <w:szCs w:val="15"/>
                <w:lang w:val="en-US"/>
              </w:rPr>
            </w:pPr>
            <w:r>
              <w:rPr>
                <w:rFonts w:hint="eastAsia" w:ascii="微软雅黑" w:hAnsi="微软雅黑" w:eastAsia="微软雅黑" w:cs="微软雅黑"/>
                <w:color w:val="013298"/>
                <w:kern w:val="0"/>
                <w:sz w:val="15"/>
                <w:szCs w:val="15"/>
                <w:lang w:val="en-US" w:eastAsia="zh-CN"/>
              </w:rPr>
              <w:t xml:space="preserve"> 无</w:t>
            </w:r>
          </w:p>
        </w:tc>
      </w:tr>
      <w:tr>
        <w:tblPrEx>
          <w:shd w:val="clear" w:color="auto" w:fill="FFFFFF"/>
          <w:tblCellMar>
            <w:top w:w="45" w:type="dxa"/>
            <w:left w:w="45" w:type="dxa"/>
            <w:bottom w:w="45" w:type="dxa"/>
            <w:right w:w="45" w:type="dxa"/>
          </w:tblCellMar>
        </w:tblPrEx>
        <w:trPr>
          <w:trHeight w:val="126"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主要学术兼职</w:t>
            </w:r>
          </w:p>
        </w:tc>
      </w:tr>
      <w:tr>
        <w:tblPrEx>
          <w:shd w:val="clear" w:color="auto" w:fill="FFFFFF"/>
          <w:tblCellMar>
            <w:top w:w="45" w:type="dxa"/>
            <w:left w:w="45" w:type="dxa"/>
            <w:bottom w:w="45" w:type="dxa"/>
            <w:right w:w="45" w:type="dxa"/>
          </w:tblCellMar>
        </w:tblPrEx>
        <w:trPr>
          <w:trHeight w:val="810"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ascii="微软雅黑" w:hAnsi="微软雅黑" w:eastAsia="微软雅黑" w:cs="微软雅黑"/>
                <w:color w:val="FF0000"/>
                <w:kern w:val="0"/>
                <w:sz w:val="15"/>
                <w:szCs w:val="15"/>
              </w:rPr>
            </w:pPr>
            <w:r>
              <w:rPr>
                <w:rFonts w:hint="eastAsia" w:ascii="微软雅黑" w:hAnsi="微软雅黑" w:eastAsia="微软雅黑" w:cs="微软雅黑"/>
                <w:color w:val="013298"/>
                <w:kern w:val="0"/>
                <w:sz w:val="15"/>
                <w:szCs w:val="15"/>
                <w:lang w:val="en-US" w:eastAsia="zh-CN"/>
              </w:rPr>
              <w:t>天津风景园林学会 理事</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主要学术成就、奖励及荣誉</w:t>
            </w:r>
          </w:p>
        </w:tc>
      </w:tr>
      <w:tr>
        <w:tblPrEx>
          <w:shd w:val="clear" w:color="auto" w:fill="FFFFFF"/>
          <w:tblCellMar>
            <w:top w:w="45" w:type="dxa"/>
            <w:left w:w="45" w:type="dxa"/>
            <w:bottom w:w="45" w:type="dxa"/>
            <w:right w:w="45" w:type="dxa"/>
          </w:tblCellMar>
        </w:tblPrEx>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天津绿化常用地被耐淹性研究    获得天津市风景园林学会科技进步奖三等奖  第一</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天津绿化常用灌木耐淹性研究</w:t>
            </w:r>
            <w:r>
              <w:rPr>
                <w:rFonts w:hint="eastAsia" w:ascii="微软雅黑" w:hAnsi="微软雅黑" w:eastAsia="微软雅黑" w:cs="微软雅黑"/>
                <w:color w:val="013298"/>
                <w:kern w:val="0"/>
                <w:sz w:val="15"/>
                <w:szCs w:val="15"/>
                <w:lang w:val="en-US" w:eastAsia="zh-CN"/>
              </w:rPr>
              <w:t xml:space="preserve">    获得天津市风景园林学会科技进步奖三等奖  第一</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 xml:space="preserve">基于典型生态系统服务供需匹配的天津滨海新区绿色基础设施网络分区研究 </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获得天津市风景园林学会科技进步奖二等奖  第四</w:t>
            </w:r>
          </w:p>
          <w:p>
            <w:pPr>
              <w:widowControl/>
              <w:spacing w:before="78" w:beforeLines="25"/>
              <w:ind w:firstLine="288"/>
              <w:jc w:val="left"/>
              <w:rPr>
                <w:rFonts w:ascii="微软雅黑" w:hAnsi="微软雅黑" w:eastAsia="微软雅黑" w:cs="微软雅黑"/>
                <w:color w:val="013298"/>
                <w:kern w:val="0"/>
                <w:sz w:val="15"/>
                <w:szCs w:val="15"/>
              </w:rPr>
            </w:pPr>
          </w:p>
        </w:tc>
      </w:tr>
      <w:tr>
        <w:tblPrEx>
          <w:shd w:val="clear" w:color="auto" w:fill="FFFFFF"/>
          <w:tblCellMar>
            <w:top w:w="45" w:type="dxa"/>
            <w:left w:w="45" w:type="dxa"/>
            <w:bottom w:w="45" w:type="dxa"/>
            <w:right w:w="45" w:type="dxa"/>
          </w:tblCellMar>
        </w:tblPrEx>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spacing w:line="360" w:lineRule="exact"/>
              <w:jc w:val="both"/>
              <w:rPr>
                <w:rStyle w:val="8"/>
                <w:rFonts w:hint="eastAsia" w:ascii="微软雅黑" w:hAnsi="微软雅黑" w:eastAsia="微软雅黑" w:cs="微软雅黑"/>
                <w:color w:val="013298"/>
                <w:kern w:val="0"/>
                <w:sz w:val="15"/>
                <w:szCs w:val="15"/>
                <w:lang w:val="en-US" w:eastAsia="zh-CN"/>
              </w:rPr>
            </w:pPr>
            <w:r>
              <w:rPr>
                <w:rStyle w:val="8"/>
                <w:rFonts w:hint="eastAsia" w:ascii="微软雅黑" w:hAnsi="微软雅黑" w:eastAsia="微软雅黑" w:cs="微软雅黑"/>
                <w:color w:val="013298"/>
                <w:kern w:val="0"/>
                <w:sz w:val="15"/>
                <w:szCs w:val="15"/>
                <w:lang w:val="en-US" w:eastAsia="zh-CN"/>
              </w:rPr>
              <w:t>主要承担项目</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1、四川省眉山市滨江公园 项目负责人</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2、石河南岛生态保护与修复EPC工程  审定人</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3、雄安新区“百花田”项目修建性详细规划 项目负责人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4、雄安新区 2019 年秋季态游憩林部分勘察设计 项目负责人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5、雄安新区生态绿廊工</w:t>
            </w:r>
            <w:bookmarkStart w:id="0" w:name="_GoBack"/>
            <w:bookmarkEnd w:id="0"/>
            <w:r>
              <w:rPr>
                <w:rFonts w:hint="eastAsia" w:ascii="微软雅黑" w:hAnsi="微软雅黑" w:eastAsia="微软雅黑" w:cs="微软雅黑"/>
                <w:color w:val="013298"/>
                <w:kern w:val="0"/>
                <w:sz w:val="15"/>
                <w:szCs w:val="15"/>
                <w:lang w:val="en-US" w:eastAsia="zh-CN"/>
              </w:rPr>
              <w:t>程   项目总负责人</w:t>
            </w:r>
            <w:r>
              <w:rPr>
                <w:rFonts w:hint="eastAsia" w:ascii="微软雅黑" w:hAnsi="微软雅黑" w:eastAsia="微软雅黑" w:cs="微软雅黑"/>
                <w:color w:val="013298"/>
                <w:kern w:val="0"/>
                <w:sz w:val="15"/>
                <w:szCs w:val="15"/>
                <w:lang w:val="en-US" w:eastAsia="zh-CN"/>
              </w:rPr>
              <w:br w:type="textWrapping"/>
            </w:r>
            <w:r>
              <w:rPr>
                <w:rFonts w:hint="eastAsia" w:ascii="微软雅黑" w:hAnsi="微软雅黑" w:eastAsia="微软雅黑" w:cs="微软雅黑"/>
                <w:color w:val="013298"/>
                <w:kern w:val="0"/>
                <w:sz w:val="15"/>
                <w:szCs w:val="15"/>
                <w:lang w:val="en-US" w:eastAsia="zh-CN"/>
              </w:rPr>
              <w:t xml:space="preserve">6、雄安新区启动区道路景观规划方案 项目负责人                        </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7、雄安新区民俗公园，项目总负责</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8、海南兴隆月亮湾片区提升改造工程，项目总负责人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9、沈阳市城市更新“二环十横十纵”项目四标段，项目总负责人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10、福建泉州植物园，项目负责人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11、山东济宁儿童公园，项目总负责人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12、山东东营耿井公园，项目总负责人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13、天津市解放南路片区中央绿轴公园，项目总负责人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14、安徽柘皋河湿地公园，项目总负责人</w:t>
            </w:r>
          </w:p>
          <w:p>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15、南开区海绵城市建设一期项目，项目总负责人</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主要科研项目及角色</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【在研项目】</w:t>
            </w:r>
          </w:p>
          <w:p>
            <w:pPr>
              <w:widowControl/>
              <w:ind w:firstLine="288"/>
              <w:jc w:val="left"/>
              <w:rPr>
                <w:rFonts w:hint="default"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雄安新区千年秀林林木生长过程质量监测研究</w:t>
            </w:r>
            <w:r>
              <w:rPr>
                <w:rFonts w:hint="eastAsia" w:ascii="微软雅黑" w:hAnsi="微软雅黑" w:eastAsia="微软雅黑" w:cs="微软雅黑"/>
                <w:color w:val="013298"/>
                <w:kern w:val="0"/>
                <w:sz w:val="15"/>
                <w:szCs w:val="15"/>
                <w:lang w:val="en-US" w:eastAsia="zh-CN"/>
              </w:rPr>
              <w:t xml:space="preserve"> 省级 2019.4—2024.4  主持人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湿地公园生境研究 院级2023.4-2024.4 主要参与人</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城市单元更新的模式与方法（二）城市体检方法研究 主要参与人</w:t>
            </w:r>
          </w:p>
          <w:p>
            <w:pPr>
              <w:widowControl/>
              <w:ind w:left="450" w:hanging="450" w:hangingChars="300"/>
              <w:jc w:val="left"/>
              <w:rPr>
                <w:rFonts w:ascii="微软雅黑" w:hAnsi="微软雅黑" w:eastAsia="微软雅黑" w:cs="微软雅黑"/>
                <w:color w:val="013298"/>
                <w:kern w:val="0"/>
                <w:sz w:val="15"/>
                <w:szCs w:val="15"/>
              </w:rPr>
            </w:pPr>
          </w:p>
          <w:p>
            <w:pPr>
              <w:widowControl/>
              <w:ind w:left="450" w:hanging="450" w:hangingChars="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【完成项目】</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 xml:space="preserve">天津绿化常用地被耐淹性研究 院级2019.4—2020.4主持人 </w:t>
            </w:r>
          </w:p>
          <w:p>
            <w:pPr>
              <w:widowControl/>
              <w:ind w:firstLine="288"/>
              <w:jc w:val="left"/>
              <w:rPr>
                <w:rFonts w:hint="default"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天津绿化常用灌木耐淹性研究</w:t>
            </w:r>
            <w:r>
              <w:rPr>
                <w:rFonts w:hint="eastAsia" w:ascii="微软雅黑" w:hAnsi="微软雅黑" w:eastAsia="微软雅黑" w:cs="微软雅黑"/>
                <w:color w:val="013298"/>
                <w:kern w:val="0"/>
                <w:sz w:val="15"/>
                <w:szCs w:val="15"/>
                <w:lang w:val="en-US" w:eastAsia="zh-CN"/>
              </w:rPr>
              <w:t xml:space="preserve"> 院级2019.1—2020.2主持人 </w:t>
            </w:r>
          </w:p>
          <w:p>
            <w:pPr>
              <w:widowControl/>
              <w:ind w:firstLine="288"/>
              <w:jc w:val="left"/>
              <w:rPr>
                <w:rFonts w:hint="default"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城市更新背景下微更新之袖珍公园</w:t>
            </w:r>
            <w:r>
              <w:rPr>
                <w:rFonts w:hint="eastAsia" w:ascii="微软雅黑" w:hAnsi="微软雅黑" w:eastAsia="微软雅黑" w:cs="微软雅黑"/>
                <w:color w:val="013298"/>
                <w:kern w:val="0"/>
                <w:sz w:val="15"/>
                <w:szCs w:val="15"/>
                <w:lang w:val="en-US" w:eastAsia="zh-CN"/>
              </w:rPr>
              <w:t xml:space="preserve"> 院级 2021.11—2022.11 主要参与人  </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 xml:space="preserve">城市单元更新的模式与方法（一） 院级 2021.11—2022.11参与人  </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基于典型生态系统服务供需匹配的天津滨海新区绿色基础设施网络分区研究</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院级2021.11—2022.11 参与人</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 xml:space="preserve">天津中心城区海绵城市建设运行管理技术体系构建与示范 </w:t>
            </w:r>
          </w:p>
          <w:p>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国家级 2017.1-2020.6 参与人</w:t>
            </w:r>
          </w:p>
        </w:tc>
      </w:tr>
      <w:tr>
        <w:tblPrEx>
          <w:tblCellMar>
            <w:top w:w="45" w:type="dxa"/>
            <w:left w:w="45" w:type="dxa"/>
            <w:bottom w:w="45" w:type="dxa"/>
            <w:right w:w="45" w:type="dxa"/>
          </w:tblCellMar>
        </w:tblPrEx>
        <w:trPr>
          <w:tblCellSpacing w:w="0" w:type="dxa"/>
          <w:jc w:val="center"/>
        </w:trPr>
        <w:tc>
          <w:tcPr>
            <w:tcW w:w="8825" w:type="dxa"/>
            <w:gridSpan w:val="3"/>
            <w:tcBorders>
              <w:top w:val="single" w:color="0033CC" w:sz="12" w:space="0"/>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代表性论文/论著及检索情况</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《海绵城市建设中8种华北常用园林地被植物的耐淹性研究》</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《海绵城市建设中七种常用乔木的耐淹性比较》</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《Characteristics of chlorophyll fluorescence in ten garden shrub species under flooding stress》</w:t>
            </w:r>
          </w:p>
          <w:p>
            <w:pPr>
              <w:widowControl/>
              <w:ind w:firstLine="288"/>
              <w:jc w:val="left"/>
              <w:rPr>
                <w:rFonts w:hint="eastAsia" w:ascii="微软雅黑" w:hAnsi="微软雅黑" w:eastAsia="微软雅黑" w:cs="微软雅黑"/>
                <w:color w:val="013298"/>
                <w:kern w:val="0"/>
                <w:sz w:val="15"/>
                <w:szCs w:val="15"/>
                <w:lang w:val="en-US" w:eastAsia="zh-CN"/>
              </w:rPr>
            </w:pPr>
          </w:p>
          <w:p>
            <w:pPr>
              <w:widowControl/>
              <w:ind w:firstLine="288"/>
              <w:jc w:val="left"/>
              <w:rPr>
                <w:rFonts w:hint="eastAsia" w:ascii="微软雅黑" w:hAnsi="微软雅黑" w:eastAsia="微软雅黑" w:cs="微软雅黑"/>
                <w:color w:val="013298"/>
                <w:kern w:val="0"/>
                <w:sz w:val="15"/>
                <w:szCs w:val="15"/>
                <w:lang w:val="en-US" w:eastAsia="zh-CN"/>
              </w:rPr>
            </w:pPr>
          </w:p>
          <w:p>
            <w:pPr>
              <w:widowControl/>
              <w:ind w:firstLine="300"/>
              <w:jc w:val="left"/>
              <w:rPr>
                <w:rFonts w:ascii="微软雅黑" w:hAnsi="微软雅黑" w:eastAsia="微软雅黑" w:cs="微软雅黑"/>
                <w:color w:val="013298"/>
                <w:kern w:val="0"/>
                <w:sz w:val="15"/>
                <w:szCs w:val="15"/>
              </w:rPr>
            </w:pPr>
          </w:p>
        </w:tc>
      </w:tr>
    </w:tbl>
    <w:p>
      <w:pPr>
        <w:rPr>
          <w:rFonts w:hint="eastAsia"/>
        </w:rPr>
      </w:pPr>
    </w:p>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1474690E"/>
    <w:rsid w:val="000057A9"/>
    <w:rsid w:val="0004427E"/>
    <w:rsid w:val="0016090C"/>
    <w:rsid w:val="001C7E3E"/>
    <w:rsid w:val="001F295B"/>
    <w:rsid w:val="00236398"/>
    <w:rsid w:val="002436C1"/>
    <w:rsid w:val="00262D44"/>
    <w:rsid w:val="002F2E2E"/>
    <w:rsid w:val="00324940"/>
    <w:rsid w:val="0035026F"/>
    <w:rsid w:val="003D1F5D"/>
    <w:rsid w:val="005C6C7D"/>
    <w:rsid w:val="006226D7"/>
    <w:rsid w:val="00634A25"/>
    <w:rsid w:val="006B68C1"/>
    <w:rsid w:val="007B0AE8"/>
    <w:rsid w:val="007B7885"/>
    <w:rsid w:val="008C6531"/>
    <w:rsid w:val="008F0791"/>
    <w:rsid w:val="00954697"/>
    <w:rsid w:val="009A4937"/>
    <w:rsid w:val="00AC55DE"/>
    <w:rsid w:val="00AF6AB1"/>
    <w:rsid w:val="00B23BBA"/>
    <w:rsid w:val="00B45D2A"/>
    <w:rsid w:val="00DA2BDA"/>
    <w:rsid w:val="00DD6CA0"/>
    <w:rsid w:val="00E04D0E"/>
    <w:rsid w:val="00E34AD8"/>
    <w:rsid w:val="00E842D1"/>
    <w:rsid w:val="00EE2E06"/>
    <w:rsid w:val="00FE2C26"/>
    <w:rsid w:val="00FF0876"/>
    <w:rsid w:val="03147E79"/>
    <w:rsid w:val="05DB66F5"/>
    <w:rsid w:val="0DD52CE6"/>
    <w:rsid w:val="0E6D45AA"/>
    <w:rsid w:val="1474690E"/>
    <w:rsid w:val="26493C37"/>
    <w:rsid w:val="2BD65BC9"/>
    <w:rsid w:val="2C122335"/>
    <w:rsid w:val="2CF0511B"/>
    <w:rsid w:val="3A063DF1"/>
    <w:rsid w:val="3F255D10"/>
    <w:rsid w:val="41064FF8"/>
    <w:rsid w:val="41AE670C"/>
    <w:rsid w:val="50FC37C6"/>
    <w:rsid w:val="524D6099"/>
    <w:rsid w:val="57F71B0A"/>
    <w:rsid w:val="66320E32"/>
    <w:rsid w:val="6DB85E94"/>
    <w:rsid w:val="6E281B4B"/>
    <w:rsid w:val="741D4040"/>
    <w:rsid w:val="763B7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xtz.kuaimaxt.cn</Company>
  <Pages>2</Pages>
  <Words>65</Words>
  <Characters>376</Characters>
  <Lines>3</Lines>
  <Paragraphs>1</Paragraphs>
  <TotalTime>0</TotalTime>
  <ScaleCrop>false</ScaleCrop>
  <LinksUpToDate>false</LinksUpToDate>
  <CharactersWithSpaces>440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2023-06-14T02:59:00Z</dcterms:created>
  <dc:creator>lenovo</dc:creator>
  <cp:lastModifiedBy>小琳</cp:lastModifiedBy>
  <dcterms:modified xsi:type="dcterms:W3CDTF">2023-06-16T04:03:20Z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F9B6FD29E2F14DDA9F5525EF09C69EC5_13</vt:lpwstr>
  </property>
</Properties>
</file>