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11FD8">
      <w:pPr>
        <w:spacing w:after="156" w:line="560" w:lineRule="exact"/>
        <w:jc w:val="center"/>
        <w:textAlignment w:val="baseline"/>
        <w:rPr>
          <w:rStyle w:val="19"/>
          <w:rFonts w:ascii="Times New Roman" w:hAnsi="Times New Roman" w:eastAsia="方正小标宋简体" w:cs="Times New Roman"/>
          <w:b/>
          <w:sz w:val="44"/>
          <w:szCs w:val="44"/>
        </w:rPr>
      </w:pPr>
    </w:p>
    <w:p w14:paraId="52B2729E">
      <w:pPr>
        <w:spacing w:after="156" w:line="560" w:lineRule="exact"/>
        <w:jc w:val="center"/>
        <w:textAlignment w:val="baseline"/>
        <w:rPr>
          <w:rStyle w:val="19"/>
          <w:rFonts w:ascii="Times New Roman" w:hAnsi="Times New Roman" w:eastAsia="方正小标宋简体" w:cs="Times New Roman"/>
          <w:bCs/>
          <w:sz w:val="44"/>
          <w:szCs w:val="44"/>
        </w:rPr>
      </w:pPr>
    </w:p>
    <w:p w14:paraId="0983F890">
      <w:pPr>
        <w:spacing w:after="156" w:line="560" w:lineRule="exact"/>
        <w:jc w:val="center"/>
        <w:textAlignment w:val="baseline"/>
        <w:rPr>
          <w:rStyle w:val="19"/>
          <w:rFonts w:ascii="Times New Roman" w:hAnsi="Times New Roman" w:eastAsia="方正小标宋简体" w:cs="Times New Roman"/>
          <w:bCs/>
          <w:sz w:val="44"/>
          <w:szCs w:val="44"/>
        </w:rPr>
      </w:pPr>
    </w:p>
    <w:p w14:paraId="3D2D9FDA">
      <w:pPr>
        <w:widowControl/>
        <w:spacing w:after="156" w:line="560" w:lineRule="exact"/>
        <w:jc w:val="center"/>
        <w:textAlignment w:val="baseline"/>
        <w:rPr>
          <w:rStyle w:val="19"/>
          <w:rFonts w:ascii="宋体" w:hAnsi="宋体" w:eastAsia="宋体" w:cs="Times New Roman"/>
          <w:b/>
          <w:bCs/>
          <w:sz w:val="44"/>
          <w:szCs w:val="44"/>
        </w:rPr>
      </w:pPr>
      <w:r>
        <w:rPr>
          <w:rStyle w:val="19"/>
          <w:rFonts w:hint="eastAsia" w:ascii="宋体" w:hAnsi="宋体" w:eastAsia="宋体" w:cs="Times New Roman"/>
          <w:b/>
          <w:bCs/>
          <w:sz w:val="44"/>
          <w:szCs w:val="44"/>
        </w:rPr>
        <w:t>天津城建大学</w:t>
      </w:r>
    </w:p>
    <w:p w14:paraId="14A71C2B">
      <w:pPr>
        <w:widowControl/>
        <w:spacing w:after="156" w:line="560" w:lineRule="exact"/>
        <w:jc w:val="center"/>
        <w:textAlignment w:val="baseline"/>
        <w:rPr>
          <w:rStyle w:val="19"/>
          <w:rFonts w:ascii="宋体" w:hAnsi="宋体" w:eastAsia="宋体" w:cs="Times New Roman"/>
          <w:b/>
          <w:bCs/>
          <w:sz w:val="44"/>
          <w:szCs w:val="44"/>
        </w:rPr>
      </w:pPr>
      <w:r>
        <w:rPr>
          <w:rStyle w:val="19"/>
          <w:rFonts w:hint="eastAsia" w:ascii="宋体" w:hAnsi="宋体" w:eastAsia="宋体" w:cs="Times New Roman"/>
          <w:b/>
          <w:bCs/>
          <w:sz w:val="44"/>
          <w:szCs w:val="44"/>
        </w:rPr>
        <w:t>学位授权点建设</w:t>
      </w:r>
      <w:r>
        <w:rPr>
          <w:rStyle w:val="19"/>
          <w:rFonts w:ascii="宋体" w:hAnsi="宋体" w:eastAsia="宋体" w:cs="Times New Roman"/>
          <w:b/>
          <w:bCs/>
          <w:sz w:val="44"/>
          <w:szCs w:val="44"/>
        </w:rPr>
        <w:t>年度报告</w:t>
      </w:r>
    </w:p>
    <w:p w14:paraId="6AED2E04">
      <w:pPr>
        <w:widowControl/>
        <w:spacing w:after="156" w:line="560" w:lineRule="exact"/>
        <w:jc w:val="center"/>
        <w:textAlignment w:val="baseline"/>
        <w:rPr>
          <w:rStyle w:val="19"/>
          <w:rFonts w:ascii="宋体" w:hAnsi="宋体" w:eastAsia="宋体" w:cs="Times New Roman"/>
          <w:b/>
          <w:bCs/>
          <w:sz w:val="44"/>
          <w:szCs w:val="44"/>
        </w:rPr>
      </w:pPr>
      <w:r>
        <w:rPr>
          <w:rFonts w:hint="eastAsia" w:ascii="宋体" w:hAnsi="宋体"/>
          <w:b/>
          <w:bCs/>
          <w:sz w:val="44"/>
          <w:szCs w:val="44"/>
        </w:rPr>
        <w:t>（</w:t>
      </w:r>
      <w:r>
        <w:rPr>
          <w:rStyle w:val="19"/>
          <w:rFonts w:ascii="宋体" w:hAnsi="宋体" w:eastAsia="宋体" w:cs="Times New Roman"/>
          <w:b/>
          <w:bCs/>
          <w:sz w:val="44"/>
          <w:szCs w:val="44"/>
        </w:rPr>
        <w:t>2022</w:t>
      </w:r>
      <w:r>
        <w:rPr>
          <w:rStyle w:val="19"/>
          <w:rFonts w:hint="eastAsia" w:ascii="宋体" w:hAnsi="宋体" w:eastAsia="宋体" w:cs="Times New Roman"/>
          <w:b/>
          <w:bCs/>
          <w:sz w:val="44"/>
          <w:szCs w:val="44"/>
        </w:rPr>
        <w:t>年度</w:t>
      </w:r>
      <w:r>
        <w:rPr>
          <w:rFonts w:ascii="宋体" w:hAnsi="宋体"/>
          <w:b/>
          <w:bCs/>
          <w:sz w:val="44"/>
          <w:szCs w:val="44"/>
        </w:rPr>
        <w:t>）</w:t>
      </w:r>
    </w:p>
    <w:p w14:paraId="123DA0B7">
      <w:pPr>
        <w:widowControl/>
        <w:spacing w:after="156" w:line="560" w:lineRule="exact"/>
        <w:jc w:val="center"/>
        <w:textAlignment w:val="baseline"/>
        <w:rPr>
          <w:rStyle w:val="19"/>
          <w:rFonts w:cs="Times New Roman" w:eastAsiaTheme="minorHAnsi"/>
          <w:bCs/>
          <w:sz w:val="44"/>
          <w:szCs w:val="44"/>
        </w:rPr>
      </w:pPr>
    </w:p>
    <w:p w14:paraId="5A85F6BA">
      <w:pPr>
        <w:snapToGrid w:val="0"/>
        <w:jc w:val="center"/>
        <w:textAlignment w:val="baseline"/>
        <w:rPr>
          <w:rStyle w:val="19"/>
          <w:rFonts w:ascii="Times New Roman" w:hAnsi="Times New Roman" w:cs="Times New Roman" w:eastAsiaTheme="minorEastAsia"/>
          <w:b/>
          <w:sz w:val="48"/>
          <w:szCs w:val="20"/>
        </w:rPr>
      </w:pPr>
    </w:p>
    <w:p w14:paraId="7A6D4434">
      <w:pPr>
        <w:snapToGrid w:val="0"/>
        <w:jc w:val="center"/>
        <w:textAlignment w:val="baseline"/>
        <w:rPr>
          <w:rStyle w:val="19"/>
          <w:rFonts w:ascii="Times New Roman" w:hAnsi="Times New Roman" w:cs="Times New Roman" w:eastAsiaTheme="minorEastAsia"/>
          <w:b/>
          <w:sz w:val="48"/>
          <w:szCs w:val="20"/>
        </w:rPr>
      </w:pPr>
    </w:p>
    <w:p w14:paraId="49BEFDE3">
      <w:pPr>
        <w:snapToGrid w:val="0"/>
        <w:spacing w:line="300" w:lineRule="auto"/>
        <w:jc w:val="center"/>
        <w:textAlignment w:val="baseline"/>
        <w:rPr>
          <w:rStyle w:val="19"/>
          <w:rFonts w:ascii="Times New Roman" w:hAnsi="Times New Roman" w:cs="Times New Roman" w:eastAsiaTheme="minorEastAsia"/>
          <w:b/>
          <w:szCs w:val="32"/>
        </w:rPr>
      </w:pPr>
    </w:p>
    <w:tbl>
      <w:tblPr>
        <w:tblStyle w:val="8"/>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14:paraId="071366AE">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nil"/>
              <w:left w:val="nil"/>
              <w:bottom w:val="single" w:color="000000" w:sz="4" w:space="0"/>
              <w:right w:val="single" w:color="000000" w:sz="4" w:space="0"/>
            </w:tcBorders>
            <w:vAlign w:val="center"/>
          </w:tcPr>
          <w:p w14:paraId="4BA75AEA">
            <w:pPr>
              <w:ind w:firstLine="301" w:firstLineChars="100"/>
              <w:rPr>
                <w:rStyle w:val="19"/>
                <w:rFonts w:ascii="宋体" w:hAnsi="宋体" w:eastAsia="宋体" w:cs="Times New Roman"/>
                <w:b/>
                <w:spacing w:val="-10"/>
                <w:szCs w:val="32"/>
              </w:rPr>
            </w:pPr>
            <w:r>
              <w:rPr>
                <w:rStyle w:val="19"/>
                <w:rFonts w:hint="eastAsia" w:ascii="宋体" w:hAnsi="宋体" w:eastAsia="宋体" w:cs="Times New Roman"/>
                <w:b/>
                <w:spacing w:val="-10"/>
                <w:szCs w:val="32"/>
              </w:rPr>
              <w:t>学院</w:t>
            </w:r>
          </w:p>
          <w:p w14:paraId="4E657180">
            <w:pPr>
              <w:rPr>
                <w:rStyle w:val="19"/>
                <w:rFonts w:ascii="宋体" w:hAnsi="宋体" w:eastAsia="宋体" w:cs="Times New Roman"/>
                <w:b/>
                <w:spacing w:val="-10"/>
                <w:szCs w:val="32"/>
              </w:rPr>
            </w:pPr>
            <w:r>
              <w:rPr>
                <w:rStyle w:val="19"/>
                <w:rFonts w:ascii="宋体" w:hAnsi="宋体" w:eastAsia="宋体" w:cs="Times New Roman"/>
                <w:b/>
                <w:spacing w:val="-10"/>
                <w:szCs w:val="32"/>
              </w:rPr>
              <w:t>（公章）</w:t>
            </w:r>
          </w:p>
        </w:tc>
        <w:tc>
          <w:tcPr>
            <w:tcW w:w="3977" w:type="dxa"/>
            <w:tcBorders>
              <w:top w:val="nil"/>
              <w:left w:val="single" w:color="000000" w:sz="4" w:space="0"/>
              <w:bottom w:val="single" w:color="000000" w:sz="4" w:space="0"/>
              <w:right w:val="nil"/>
            </w:tcBorders>
            <w:vAlign w:val="center"/>
          </w:tcPr>
          <w:p w14:paraId="16006BB8">
            <w:pPr>
              <w:rPr>
                <w:rStyle w:val="19"/>
                <w:rFonts w:ascii="宋体" w:hAnsi="宋体" w:eastAsia="宋体" w:cs="Times New Roman"/>
                <w:b/>
                <w:spacing w:val="-10"/>
                <w:szCs w:val="32"/>
              </w:rPr>
            </w:pPr>
            <w:r>
              <w:rPr>
                <w:rStyle w:val="19"/>
                <w:rFonts w:ascii="宋体" w:hAnsi="宋体" w:eastAsia="宋体" w:cs="Times New Roman"/>
                <w:b/>
                <w:spacing w:val="-10"/>
                <w:szCs w:val="32"/>
              </w:rPr>
              <w:t>名称：</w:t>
            </w:r>
            <w:r>
              <w:rPr>
                <w:rStyle w:val="19"/>
                <w:rFonts w:hint="eastAsia" w:ascii="宋体" w:hAnsi="宋体" w:eastAsia="宋体" w:cs="Times New Roman"/>
                <w:b/>
                <w:spacing w:val="-10"/>
                <w:szCs w:val="32"/>
              </w:rPr>
              <w:t>城乡规划学</w:t>
            </w:r>
          </w:p>
        </w:tc>
      </w:tr>
      <w:tr w14:paraId="082F024F">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top w:val="single" w:color="000000" w:sz="4" w:space="0"/>
              <w:left w:val="nil"/>
              <w:bottom w:val="nil"/>
              <w:right w:val="single" w:color="000000" w:sz="4" w:space="0"/>
            </w:tcBorders>
            <w:vAlign w:val="center"/>
          </w:tcPr>
          <w:p w14:paraId="208402A5">
            <w:pPr>
              <w:rPr>
                <w:rStyle w:val="19"/>
                <w:rFonts w:ascii="Times New Roman" w:hAnsi="Times New Roman" w:cs="Times New Roman" w:eastAsiaTheme="minorEastAsia"/>
                <w:b/>
                <w:spacing w:val="-10"/>
                <w:szCs w:val="32"/>
              </w:rPr>
            </w:pPr>
          </w:p>
        </w:tc>
        <w:tc>
          <w:tcPr>
            <w:tcW w:w="3977" w:type="dxa"/>
            <w:tcBorders>
              <w:top w:val="single" w:color="000000" w:sz="4" w:space="0"/>
              <w:left w:val="single" w:color="000000" w:sz="4" w:space="0"/>
              <w:bottom w:val="nil"/>
              <w:right w:val="nil"/>
            </w:tcBorders>
            <w:vAlign w:val="center"/>
          </w:tcPr>
          <w:p w14:paraId="71F8BC58">
            <w:pPr>
              <w:rPr>
                <w:rStyle w:val="19"/>
                <w:rFonts w:ascii="宋体" w:hAnsi="宋体" w:eastAsia="宋体" w:cs="Times New Roman"/>
                <w:b/>
                <w:spacing w:val="-10"/>
                <w:szCs w:val="32"/>
              </w:rPr>
            </w:pPr>
            <w:r>
              <w:rPr>
                <w:rStyle w:val="19"/>
                <w:rFonts w:ascii="宋体" w:hAnsi="宋体" w:eastAsia="宋体" w:cs="Times New Roman"/>
                <w:b/>
                <w:spacing w:val="-10"/>
                <w:szCs w:val="32"/>
              </w:rPr>
              <w:t>代码：</w:t>
            </w:r>
            <w:r>
              <w:rPr>
                <w:rStyle w:val="19"/>
                <w:rFonts w:hint="eastAsia" w:ascii="宋体" w:hAnsi="宋体" w:eastAsia="宋体" w:cs="Times New Roman"/>
                <w:b/>
                <w:spacing w:val="-10"/>
                <w:szCs w:val="32"/>
              </w:rPr>
              <w:t>0833</w:t>
            </w:r>
          </w:p>
        </w:tc>
      </w:tr>
    </w:tbl>
    <w:p w14:paraId="2CCE6122">
      <w:pPr>
        <w:widowControl/>
        <w:snapToGrid w:val="0"/>
        <w:spacing w:line="300" w:lineRule="auto"/>
        <w:jc w:val="left"/>
        <w:textAlignment w:val="baseline"/>
        <w:rPr>
          <w:rStyle w:val="19"/>
          <w:rFonts w:ascii="Times New Roman" w:hAnsi="Times New Roman" w:cs="Times New Roman" w:eastAsiaTheme="minorEastAsia"/>
          <w:b/>
          <w:sz w:val="48"/>
          <w:szCs w:val="20"/>
        </w:rPr>
      </w:pPr>
    </w:p>
    <w:p w14:paraId="2B93FCBD">
      <w:pPr>
        <w:spacing w:line="560" w:lineRule="exact"/>
        <w:jc w:val="center"/>
        <w:textAlignment w:val="baseline"/>
        <w:rPr>
          <w:rStyle w:val="19"/>
          <w:rFonts w:ascii="Times New Roman" w:hAnsi="Times New Roman" w:cs="Times New Roman" w:eastAsiaTheme="minorEastAsia"/>
          <w:b/>
          <w:sz w:val="30"/>
          <w:szCs w:val="30"/>
        </w:rPr>
      </w:pPr>
    </w:p>
    <w:p w14:paraId="5C364150">
      <w:pPr>
        <w:pStyle w:val="20"/>
        <w:widowControl/>
        <w:rPr>
          <w:rStyle w:val="19"/>
          <w:rFonts w:ascii="Times New Roman" w:hAnsi="Times New Roman" w:cs="Times New Roman" w:eastAsiaTheme="minorEastAsia"/>
          <w:color w:val="auto"/>
        </w:rPr>
      </w:pPr>
    </w:p>
    <w:p w14:paraId="1637CF03"/>
    <w:p w14:paraId="75417ADE"/>
    <w:p w14:paraId="1F8B1E3C">
      <w:pPr>
        <w:spacing w:line="560" w:lineRule="exact"/>
        <w:jc w:val="center"/>
        <w:textAlignment w:val="baseline"/>
        <w:rPr>
          <w:rStyle w:val="19"/>
          <w:rFonts w:ascii="Times New Roman" w:hAnsi="Times New Roman" w:cs="Times New Roman" w:eastAsiaTheme="minorEastAsia"/>
          <w:b/>
          <w:sz w:val="30"/>
          <w:szCs w:val="30"/>
        </w:rPr>
      </w:pPr>
    </w:p>
    <w:p w14:paraId="3C27EC43">
      <w:pPr>
        <w:widowControl/>
        <w:snapToGrid w:val="0"/>
        <w:spacing w:line="240" w:lineRule="atLeast"/>
        <w:jc w:val="center"/>
        <w:textAlignment w:val="baseline"/>
        <w:rPr>
          <w:rStyle w:val="19"/>
          <w:rFonts w:ascii="宋体" w:hAnsi="宋体" w:eastAsia="宋体" w:cs="Times New Roman"/>
          <w:b/>
          <w:spacing w:val="-10"/>
          <w:szCs w:val="32"/>
        </w:rPr>
      </w:pPr>
      <w:r>
        <w:rPr>
          <w:rStyle w:val="19"/>
          <w:rFonts w:hint="eastAsia" w:ascii="宋体" w:hAnsi="宋体" w:eastAsia="宋体" w:cs="Times New Roman"/>
          <w:b/>
          <w:spacing w:val="-10"/>
          <w:szCs w:val="32"/>
        </w:rPr>
        <w:t>建筑学院</w:t>
      </w:r>
    </w:p>
    <w:p w14:paraId="7D724F5C">
      <w:pPr>
        <w:snapToGrid w:val="0"/>
        <w:spacing w:line="240" w:lineRule="atLeast"/>
        <w:jc w:val="center"/>
        <w:textAlignment w:val="baseline"/>
        <w:rPr>
          <w:rStyle w:val="19"/>
          <w:rFonts w:ascii="宋体" w:hAnsi="宋体" w:eastAsia="宋体" w:cs="Times New Roman"/>
          <w:b/>
          <w:spacing w:val="-10"/>
          <w:szCs w:val="32"/>
        </w:rPr>
      </w:pPr>
    </w:p>
    <w:p w14:paraId="1A42B23D">
      <w:pPr>
        <w:widowControl/>
        <w:snapToGrid w:val="0"/>
        <w:spacing w:line="240" w:lineRule="atLeast"/>
        <w:jc w:val="center"/>
        <w:textAlignment w:val="baseline"/>
        <w:rPr>
          <w:rFonts w:ascii="仿宋" w:hAnsi="仿宋" w:eastAsia="仿宋" w:cs="Arial"/>
          <w:kern w:val="0"/>
          <w:sz w:val="24"/>
          <w:szCs w:val="24"/>
        </w:rPr>
      </w:pPr>
      <w:r>
        <w:rPr>
          <w:rStyle w:val="19"/>
          <w:rFonts w:ascii="宋体" w:hAnsi="宋体" w:eastAsia="宋体" w:cs="Times New Roman"/>
          <w:b/>
          <w:spacing w:val="-10"/>
          <w:szCs w:val="32"/>
        </w:rPr>
        <w:t>2023年5月10日</w:t>
      </w:r>
      <w:r>
        <w:rPr>
          <w:rFonts w:ascii="仿宋" w:hAnsi="仿宋" w:eastAsia="仿宋" w:cs="Courier New"/>
          <w:kern w:val="0"/>
          <w:sz w:val="24"/>
          <w:szCs w:val="24"/>
        </w:rPr>
        <w:br w:type="page"/>
      </w:r>
    </w:p>
    <w:p w14:paraId="0B649561">
      <w:pPr>
        <w:pStyle w:val="3"/>
      </w:pPr>
      <w:r>
        <w:t>一、基本情况</w:t>
      </w:r>
    </w:p>
    <w:p w14:paraId="2C035A61">
      <w:pPr>
        <w:pStyle w:val="4"/>
      </w:pPr>
      <w:r>
        <w:rPr>
          <w:rFonts w:hint="eastAsia"/>
        </w:rPr>
        <w:t>1</w:t>
      </w:r>
      <w:r>
        <w:t>.1学位授权点发展历史及内涵</w:t>
      </w:r>
    </w:p>
    <w:p w14:paraId="164718D0">
      <w:pPr>
        <w:spacing w:line="360" w:lineRule="auto"/>
        <w:ind w:firstLine="560" w:firstLineChars="200"/>
        <w:rPr>
          <w:rFonts w:ascii="宋体" w:hAnsi="宋体"/>
          <w:szCs w:val="28"/>
        </w:rPr>
      </w:pPr>
      <w:r>
        <w:rPr>
          <w:rFonts w:hint="eastAsia" w:ascii="宋体" w:hAnsi="宋体"/>
          <w:szCs w:val="28"/>
        </w:rPr>
        <w:t>天津城建大学城乡规划学是天津市属高校中唯一的城乡规划学硕士一级学位授权点，是天津市城乡规划领域应用型工程技术和管理人才的重要培养基地。2006年获批“城市规划与设计”二级学科硕士点，2011年获批“城乡规划学”一级学科硕士点，同年获批“天津市重点学科”</w:t>
      </w:r>
      <w:r>
        <w:rPr>
          <w:rFonts w:hint="eastAsia" w:ascii="宋体" w:hAnsi="宋体"/>
          <w:szCs w:val="28"/>
          <w:lang w:eastAsia="zh-CN"/>
        </w:rPr>
        <w:t>，</w:t>
      </w:r>
      <w:r>
        <w:rPr>
          <w:rFonts w:hint="eastAsia" w:ascii="宋体" w:hAnsi="宋体"/>
          <w:szCs w:val="28"/>
        </w:rPr>
        <w:t>2017年城乡规划学科群获批天津市优势特色学科群，2019年通过全国高等学校城乡规划专业硕士研究生教育评估。</w:t>
      </w:r>
    </w:p>
    <w:p w14:paraId="77B6915A">
      <w:pPr>
        <w:spacing w:line="360" w:lineRule="auto"/>
        <w:ind w:firstLine="560" w:firstLineChars="200"/>
      </w:pPr>
      <w:r>
        <w:rPr>
          <w:rFonts w:ascii="宋体" w:hAnsi="宋体"/>
          <w:szCs w:val="28"/>
        </w:rPr>
        <w:t>近年来</w:t>
      </w:r>
      <w:r>
        <w:rPr>
          <w:rFonts w:hint="eastAsia" w:ascii="宋体" w:hAnsi="宋体"/>
          <w:szCs w:val="28"/>
        </w:rPr>
        <w:t>，依托城建类学科专业群，搭建了天津市绿色住区建设技术工程中心、天津城镇化与新农村建设研究中心、天津市人居环境教学示范中心、城市绿色发展研究中心、天津绿色建筑协同创新中心</w:t>
      </w:r>
      <w:r>
        <w:rPr>
          <w:rFonts w:ascii="宋体" w:hAnsi="宋体"/>
          <w:szCs w:val="28"/>
        </w:rPr>
        <w:t>5个天津市级学科平台。</w:t>
      </w:r>
      <w:r>
        <w:rPr>
          <w:rFonts w:hint="eastAsia"/>
        </w:rPr>
        <w:t>依托学院传统优势，本学位点发展瞄准国际学科发展前沿，坚持产学研一体化建设，实现学科的全面均衡发展。</w:t>
      </w:r>
    </w:p>
    <w:p w14:paraId="7F62C205">
      <w:pPr>
        <w:pStyle w:val="4"/>
      </w:pPr>
      <w:r>
        <w:rPr>
          <w:rFonts w:hint="eastAsia"/>
        </w:rPr>
        <w:t>1</w:t>
      </w:r>
      <w:r>
        <w:t>.2培养目标与学位标准</w:t>
      </w:r>
    </w:p>
    <w:p w14:paraId="1E1CD3DA">
      <w:pPr>
        <w:widowControl/>
        <w:spacing w:line="360" w:lineRule="auto"/>
        <w:ind w:firstLine="560" w:firstLineChars="200"/>
        <w:rPr>
          <w:rFonts w:hint="eastAsia" w:ascii="宋体" w:hAnsi="宋体" w:cs="宋体"/>
        </w:rPr>
      </w:pPr>
      <w:r>
        <w:rPr>
          <w:rFonts w:hint="eastAsia" w:ascii="宋体" w:hAnsi="宋体"/>
          <w:szCs w:val="28"/>
        </w:rPr>
        <w:t>（</w:t>
      </w:r>
      <w:r>
        <w:rPr>
          <w:rFonts w:ascii="宋体" w:hAnsi="宋体"/>
          <w:szCs w:val="28"/>
        </w:rPr>
        <w:t>1）</w:t>
      </w:r>
      <w:r>
        <w:rPr>
          <w:rFonts w:hint="eastAsia" w:ascii="宋体" w:hAnsi="宋体" w:cs="宋体"/>
        </w:rPr>
        <w:t>培养目标</w:t>
      </w:r>
    </w:p>
    <w:p w14:paraId="45CC27B7">
      <w:pPr>
        <w:spacing w:line="360" w:lineRule="auto"/>
        <w:ind w:firstLine="560" w:firstLineChars="200"/>
        <w:rPr>
          <w:rFonts w:ascii="宋体" w:hAnsi="宋体"/>
          <w:szCs w:val="28"/>
        </w:rPr>
      </w:pPr>
      <w:r>
        <w:rPr>
          <w:rFonts w:hint="eastAsia" w:ascii="宋体" w:hAnsi="宋体"/>
          <w:szCs w:val="28"/>
        </w:rPr>
        <w:t>坚持“立德树人，以人为本”，立足国家的人才需求，建立思政教育体系，实现课程</w:t>
      </w:r>
      <w:r>
        <w:rPr>
          <w:rFonts w:hint="eastAsia" w:ascii="宋体" w:hAnsi="宋体"/>
          <w:szCs w:val="28"/>
          <w:lang w:val="en-US" w:eastAsia="zh-CN"/>
        </w:rPr>
        <w:t>智</w:t>
      </w:r>
      <w:r>
        <w:rPr>
          <w:rFonts w:hint="eastAsia" w:ascii="宋体" w:hAnsi="宋体"/>
          <w:szCs w:val="28"/>
        </w:rPr>
        <w:t>育与德育的统一，培养研究生正确的人生观、世界观和价值观；坚持“关注国家需求，聚焦区域发展”，培养学生掌握城乡规划学科基础理论、基本方法和技能的能力，使他们拥有扎实、全面、综合的专业知识体系和应用实践能力，在国家和区域建设中具备承担城乡规划及设计、规划管理、规划研究等工作的能力；坚持“五育并举、多元培养”，发挥天津市人居环境教学示范中心等多个教学平台以及学校七大学科专业群的协同育人优势，构建多元化联合培养模式，全面提升学生科研创新能力，使其成长为集知识体系、基本技能、实践能力于一身的创新复合型人才。</w:t>
      </w:r>
    </w:p>
    <w:p w14:paraId="082C8378">
      <w:pPr>
        <w:widowControl/>
        <w:spacing w:line="360" w:lineRule="auto"/>
        <w:ind w:firstLine="560" w:firstLineChars="200"/>
        <w:rPr>
          <w:rFonts w:hint="eastAsia" w:ascii="宋体" w:hAnsi="宋体" w:cs="宋体"/>
        </w:rPr>
      </w:pPr>
      <w:r>
        <w:rPr>
          <w:rFonts w:hint="eastAsia" w:ascii="宋体" w:hAnsi="宋体"/>
          <w:szCs w:val="28"/>
        </w:rPr>
        <w:t>（</w:t>
      </w:r>
      <w:r>
        <w:rPr>
          <w:rFonts w:ascii="宋体" w:hAnsi="宋体"/>
          <w:szCs w:val="28"/>
        </w:rPr>
        <w:t>2）</w:t>
      </w:r>
      <w:r>
        <w:rPr>
          <w:rFonts w:hint="eastAsia" w:ascii="宋体" w:hAnsi="宋体" w:cs="宋体"/>
        </w:rPr>
        <w:t>学位标准</w:t>
      </w:r>
    </w:p>
    <w:p w14:paraId="7E62B3E2">
      <w:pPr>
        <w:widowControl/>
        <w:shd w:val="clear" w:color="auto" w:fill="FFFFFF"/>
        <w:ind w:firstLine="560" w:firstLineChars="200"/>
        <w:jc w:val="left"/>
        <w:rPr>
          <w:rFonts w:ascii="宋体" w:hAnsi="宋体" w:cs="Arial"/>
          <w:kern w:val="0"/>
          <w:szCs w:val="28"/>
        </w:rPr>
      </w:pPr>
      <w:r>
        <w:rPr>
          <w:rFonts w:ascii="宋体" w:hAnsi="宋体" w:cs="Arial"/>
          <w:kern w:val="0"/>
          <w:szCs w:val="28"/>
        </w:rPr>
        <w:t>本学位点学位授予条件，按照《</w:t>
      </w:r>
      <w:r>
        <w:rPr>
          <w:rFonts w:hint="eastAsia" w:ascii="宋体" w:hAnsi="宋体" w:cs="Arial"/>
          <w:kern w:val="0"/>
          <w:szCs w:val="28"/>
        </w:rPr>
        <w:t>天津城建大学硕士学位授予工作实施办法</w:t>
      </w:r>
      <w:r>
        <w:rPr>
          <w:rFonts w:ascii="宋体" w:hAnsi="宋体" w:cs="Arial"/>
          <w:kern w:val="0"/>
          <w:szCs w:val="28"/>
        </w:rPr>
        <w:t>》（</w:t>
      </w:r>
      <w:r>
        <w:rPr>
          <w:rFonts w:hint="eastAsia" w:ascii="宋体" w:hAnsi="宋体" w:cs="Arial"/>
          <w:kern w:val="0"/>
          <w:szCs w:val="28"/>
        </w:rPr>
        <w:t>天城大政〔</w:t>
      </w:r>
      <w:r>
        <w:rPr>
          <w:rFonts w:ascii="宋体" w:hAnsi="宋体" w:cs="Arial"/>
          <w:kern w:val="0"/>
          <w:szCs w:val="28"/>
        </w:rPr>
        <w:t>2021〕44号）执行。</w:t>
      </w:r>
      <w:r>
        <w:rPr>
          <w:rFonts w:hint="eastAsia" w:ascii="宋体" w:hAnsi="宋体" w:cs="Arial"/>
          <w:kern w:val="0"/>
          <w:szCs w:val="28"/>
        </w:rPr>
        <w:t>须</w:t>
      </w:r>
      <w:r>
        <w:rPr>
          <w:rFonts w:ascii="宋体" w:hAnsi="宋体" w:cs="Arial"/>
          <w:kern w:val="0"/>
          <w:szCs w:val="28"/>
        </w:rPr>
        <w:t>符合</w:t>
      </w:r>
      <w:r>
        <w:rPr>
          <w:rFonts w:hint="eastAsia" w:ascii="宋体" w:hAnsi="宋体" w:cs="Arial"/>
          <w:kern w:val="0"/>
          <w:szCs w:val="28"/>
        </w:rPr>
        <w:t>：</w:t>
      </w:r>
    </w:p>
    <w:p w14:paraId="509F7483">
      <w:pPr>
        <w:widowControl/>
        <w:shd w:val="clear" w:color="auto" w:fill="FFFFFF"/>
        <w:ind w:firstLine="560" w:firstLineChars="200"/>
        <w:jc w:val="left"/>
        <w:rPr>
          <w:rFonts w:ascii="宋体" w:hAnsi="宋体" w:cs="Arial"/>
          <w:kern w:val="0"/>
          <w:szCs w:val="28"/>
        </w:rPr>
      </w:pPr>
      <w:r>
        <w:rPr>
          <w:rFonts w:hint="eastAsia" w:ascii="宋体" w:hAnsi="宋体" w:cs="Arial"/>
          <w:kern w:val="0"/>
          <w:szCs w:val="28"/>
        </w:rPr>
        <w:t>（</w:t>
      </w:r>
      <w:r>
        <w:rPr>
          <w:rFonts w:hint="eastAsia" w:ascii="宋体" w:hAnsi="宋体" w:cs="Arial"/>
          <w:kern w:val="0"/>
          <w:szCs w:val="28"/>
          <w:lang w:val="en-US" w:eastAsia="zh-CN"/>
        </w:rPr>
        <w:t>一</w:t>
      </w:r>
      <w:r>
        <w:rPr>
          <w:rFonts w:hint="eastAsia" w:ascii="宋体" w:hAnsi="宋体" w:cs="Arial"/>
          <w:kern w:val="0"/>
          <w:szCs w:val="28"/>
        </w:rPr>
        <w:t>）拥护中国共产党的领导，拥护社会主义制度，热爱祖国，遵纪守法，有较强的社会责任感，愿意为社会主义现代化建设服务；</w:t>
      </w:r>
    </w:p>
    <w:p w14:paraId="474118CE">
      <w:pPr>
        <w:widowControl/>
        <w:shd w:val="clear" w:color="auto" w:fill="FFFFFF"/>
        <w:ind w:firstLine="560" w:firstLineChars="200"/>
        <w:jc w:val="left"/>
        <w:rPr>
          <w:rFonts w:ascii="宋体" w:hAnsi="宋体" w:cs="Arial"/>
          <w:kern w:val="0"/>
          <w:szCs w:val="28"/>
        </w:rPr>
      </w:pPr>
      <w:r>
        <w:rPr>
          <w:rFonts w:hint="eastAsia" w:ascii="宋体" w:hAnsi="宋体" w:cs="Arial"/>
          <w:kern w:val="0"/>
          <w:szCs w:val="28"/>
        </w:rPr>
        <w:t>（</w:t>
      </w:r>
      <w:r>
        <w:rPr>
          <w:rFonts w:hint="eastAsia" w:ascii="宋体" w:hAnsi="宋体" w:cs="Arial"/>
          <w:kern w:val="0"/>
          <w:szCs w:val="28"/>
          <w:lang w:val="en-US" w:eastAsia="zh-CN"/>
        </w:rPr>
        <w:t>二</w:t>
      </w:r>
      <w:r>
        <w:rPr>
          <w:rFonts w:hint="eastAsia" w:ascii="宋体" w:hAnsi="宋体" w:cs="Arial"/>
          <w:kern w:val="0"/>
          <w:szCs w:val="28"/>
        </w:rPr>
        <w:t>）在规定学习期限内，完成本人培养计划中全部课程学习及必修环节，取得规定学分；</w:t>
      </w:r>
    </w:p>
    <w:p w14:paraId="08E5EA2A">
      <w:pPr>
        <w:widowControl/>
        <w:shd w:val="clear" w:color="auto" w:fill="FFFFFF"/>
        <w:ind w:firstLine="560" w:firstLineChars="200"/>
        <w:jc w:val="left"/>
        <w:rPr>
          <w:rFonts w:ascii="宋体" w:hAnsi="宋体" w:cs="Arial"/>
          <w:kern w:val="0"/>
          <w:szCs w:val="28"/>
        </w:rPr>
      </w:pPr>
      <w:r>
        <w:rPr>
          <w:rFonts w:hint="eastAsia" w:ascii="宋体" w:hAnsi="宋体" w:cs="Arial"/>
          <w:kern w:val="0"/>
          <w:szCs w:val="28"/>
        </w:rPr>
        <w:t>（</w:t>
      </w:r>
      <w:r>
        <w:rPr>
          <w:rFonts w:hint="eastAsia" w:ascii="宋体" w:hAnsi="宋体" w:cs="Arial"/>
          <w:kern w:val="0"/>
          <w:szCs w:val="28"/>
          <w:lang w:val="en-US" w:eastAsia="zh-CN"/>
        </w:rPr>
        <w:t>三</w:t>
      </w:r>
      <w:r>
        <w:rPr>
          <w:rFonts w:hint="eastAsia" w:ascii="宋体" w:hAnsi="宋体" w:cs="Arial"/>
          <w:kern w:val="0"/>
          <w:szCs w:val="28"/>
        </w:rPr>
        <w:t>）完成学位论文研究和撰写工作，且通过论文答辩；</w:t>
      </w:r>
    </w:p>
    <w:p w14:paraId="2F84CCC5">
      <w:pPr>
        <w:spacing w:line="360" w:lineRule="auto"/>
        <w:ind w:firstLine="560" w:firstLineChars="200"/>
        <w:rPr>
          <w:rFonts w:ascii="宋体" w:hAnsi="宋体"/>
          <w:szCs w:val="28"/>
        </w:rPr>
      </w:pPr>
      <w:r>
        <w:rPr>
          <w:rFonts w:hint="eastAsia" w:ascii="宋体" w:hAnsi="宋体"/>
          <w:szCs w:val="28"/>
        </w:rPr>
        <w:t>（</w:t>
      </w:r>
      <w:r>
        <w:rPr>
          <w:rFonts w:hint="eastAsia" w:ascii="宋体" w:hAnsi="宋体"/>
          <w:szCs w:val="28"/>
          <w:lang w:val="en-US" w:eastAsia="zh-CN"/>
        </w:rPr>
        <w:t>四</w:t>
      </w:r>
      <w:r>
        <w:rPr>
          <w:rFonts w:hint="eastAsia" w:ascii="宋体" w:hAnsi="宋体"/>
          <w:szCs w:val="28"/>
        </w:rPr>
        <w:t>）未同时向另一个学位授予单位提出学位申请（学校与其他高校联合培养，明确授予双方学位的情况除外）。</w:t>
      </w:r>
    </w:p>
    <w:p w14:paraId="7316D5DC">
      <w:pPr>
        <w:pStyle w:val="3"/>
      </w:pPr>
      <w:r>
        <w:t>二、基本条件</w:t>
      </w:r>
    </w:p>
    <w:p w14:paraId="10A3DF79">
      <w:pPr>
        <w:pStyle w:val="4"/>
      </w:pPr>
      <w:r>
        <w:rPr>
          <w:rStyle w:val="17"/>
          <w:b/>
          <w:bCs w:val="0"/>
        </w:rPr>
        <w:t>2.1培养</w:t>
      </w:r>
      <w:r>
        <w:t>方向</w:t>
      </w:r>
    </w:p>
    <w:p w14:paraId="5878A041">
      <w:pPr>
        <w:spacing w:line="360" w:lineRule="auto"/>
        <w:ind w:firstLine="560" w:firstLineChars="200"/>
        <w:rPr>
          <w:rFonts w:ascii="宋体" w:hAnsi="宋体"/>
          <w:szCs w:val="28"/>
        </w:rPr>
      </w:pPr>
      <w:r>
        <w:rPr>
          <w:rFonts w:hint="eastAsia" w:ascii="宋体" w:hAnsi="宋体"/>
          <w:szCs w:val="28"/>
        </w:rPr>
        <w:t>聚焦城乡规划领域前沿，紧密结合国家对城乡地域发展的战略要求，依托学校城建特色七大学科专业群，通过行业内外联动、学科交叉融合，形成了</w:t>
      </w:r>
      <w:bookmarkStart w:id="0" w:name="OLE_LINK1"/>
      <w:r>
        <w:rPr>
          <w:rFonts w:hint="eastAsia" w:ascii="宋体" w:hAnsi="宋体"/>
          <w:szCs w:val="28"/>
        </w:rPr>
        <w:t>城乡规划与设计、城乡历史文化遗产保护规划、区域规划与空间发展战略、城乡生态与环境规划四个研究方向</w:t>
      </w:r>
      <w:r>
        <w:rPr>
          <w:rFonts w:ascii="宋体" w:hAnsi="宋体"/>
          <w:szCs w:val="28"/>
        </w:rPr>
        <w:t>。</w:t>
      </w:r>
    </w:p>
    <w:p w14:paraId="15BCBDA4">
      <w:pPr>
        <w:spacing w:line="360" w:lineRule="auto"/>
        <w:ind w:firstLine="560" w:firstLineChars="200"/>
        <w:rPr>
          <w:rFonts w:ascii="宋体" w:hAnsi="宋体"/>
          <w:szCs w:val="28"/>
        </w:rPr>
      </w:pPr>
      <w:r>
        <w:rPr>
          <w:rFonts w:hint="eastAsia" w:ascii="宋体" w:hAnsi="宋体"/>
          <w:szCs w:val="28"/>
        </w:rPr>
        <w:t>（</w:t>
      </w:r>
      <w:r>
        <w:rPr>
          <w:rFonts w:ascii="宋体" w:hAnsi="宋体"/>
          <w:szCs w:val="28"/>
        </w:rPr>
        <w:t>1）城乡规划与设计</w:t>
      </w:r>
    </w:p>
    <w:p w14:paraId="499ADDE1">
      <w:pPr>
        <w:spacing w:line="360" w:lineRule="auto"/>
        <w:ind w:firstLine="560" w:firstLineChars="200"/>
        <w:rPr>
          <w:rFonts w:ascii="宋体" w:hAnsi="宋体"/>
          <w:szCs w:val="28"/>
        </w:rPr>
      </w:pPr>
      <w:r>
        <w:rPr>
          <w:rFonts w:hint="eastAsia" w:ascii="宋体" w:hAnsi="宋体"/>
          <w:szCs w:val="28"/>
        </w:rPr>
        <w:t>以乡村规划研究为重点，以阐明城镇发展和建设中空间组织的优化为目标，运用城镇与乡村规划的理论与方法，对城镇与乡村的功能组织、道路交通、空间形态、基础设施、生态保护等进行研究与设计，以科学引导城乡发展、空间布局与实施建设。研究内容包括城市规划与设计、城乡规划理论、城市设计、乡村规划与设计、城乡景观规划、新技术在城乡规划中的应用等。</w:t>
      </w:r>
    </w:p>
    <w:p w14:paraId="356290D0">
      <w:pPr>
        <w:spacing w:line="360" w:lineRule="auto"/>
        <w:ind w:firstLine="560" w:firstLineChars="200"/>
        <w:rPr>
          <w:rFonts w:ascii="宋体" w:hAnsi="宋体"/>
          <w:szCs w:val="28"/>
        </w:rPr>
      </w:pPr>
      <w:r>
        <w:rPr>
          <w:rFonts w:hint="eastAsia" w:ascii="宋体" w:hAnsi="宋体"/>
          <w:szCs w:val="28"/>
        </w:rPr>
        <w:t>（</w:t>
      </w:r>
      <w:r>
        <w:rPr>
          <w:rFonts w:ascii="宋体" w:hAnsi="宋体"/>
          <w:szCs w:val="28"/>
        </w:rPr>
        <w:t>2）城乡历史文化遗产保护规划</w:t>
      </w:r>
    </w:p>
    <w:p w14:paraId="4016C0B4">
      <w:pPr>
        <w:spacing w:line="360" w:lineRule="auto"/>
        <w:ind w:firstLine="560" w:firstLineChars="200"/>
        <w:rPr>
          <w:rFonts w:ascii="宋体" w:hAnsi="宋体"/>
          <w:szCs w:val="28"/>
        </w:rPr>
      </w:pPr>
      <w:r>
        <w:rPr>
          <w:rFonts w:hint="eastAsia" w:ascii="宋体" w:hAnsi="宋体"/>
          <w:szCs w:val="28"/>
        </w:rPr>
        <w:t>本方向可细分为城乡历史发展与理论研究、城乡历史文化遗产保护规划与设计方法研究。前者主要从中国历史城镇的空间演化、古代都城规划与风水格局等方面，探讨影响城市建设的因素与空间发展规律；后者从解决城市快速发展与历史文化遗产保护的矛盾入手，研究城市历史文化遗产保护规划与设计、乡镇历史文化遗产保护规划与设计的方法。</w:t>
      </w:r>
    </w:p>
    <w:p w14:paraId="67614695">
      <w:pPr>
        <w:spacing w:line="360" w:lineRule="auto"/>
        <w:ind w:firstLine="560" w:firstLineChars="200"/>
        <w:rPr>
          <w:rFonts w:ascii="宋体" w:hAnsi="宋体"/>
          <w:szCs w:val="28"/>
        </w:rPr>
      </w:pPr>
      <w:r>
        <w:rPr>
          <w:rFonts w:hint="eastAsia" w:ascii="宋体" w:hAnsi="宋体"/>
          <w:szCs w:val="28"/>
        </w:rPr>
        <w:t>（</w:t>
      </w:r>
      <w:r>
        <w:rPr>
          <w:rFonts w:ascii="宋体" w:hAnsi="宋体"/>
          <w:szCs w:val="28"/>
        </w:rPr>
        <w:t>3）区域规划与空间发展战略</w:t>
      </w:r>
    </w:p>
    <w:p w14:paraId="496150B3">
      <w:pPr>
        <w:spacing w:line="360" w:lineRule="auto"/>
        <w:ind w:firstLine="560" w:firstLineChars="200"/>
        <w:rPr>
          <w:rFonts w:ascii="宋体" w:hAnsi="宋体"/>
          <w:szCs w:val="28"/>
        </w:rPr>
      </w:pPr>
      <w:r>
        <w:rPr>
          <w:rFonts w:hint="eastAsia" w:ascii="宋体" w:hAnsi="宋体"/>
          <w:szCs w:val="28"/>
        </w:rPr>
        <w:t>本方向可细分区域发展与政策研究、区域分析与规划研究、区域城市发展模式研究。“区域发展与政策研究”主要包括区域发展和经济增长的理论及政策、区域可持续发展、城乡统筹发展以及产业支持政策等研究；“区域分析与规划研究”包括区域发展中的多目标决策分析、区域能源和环境分析、区域基础设施投资的社会效益分析、城镇体系及乡村居民点体系规划以及国家投资政策等研究；“区域城市发展模式研究”包括区域城市基础理论、区域城市增长和控制理论、区域城市下城镇化理论及模式、区域城市问题（如交通拥堵等）等研究。</w:t>
      </w:r>
    </w:p>
    <w:p w14:paraId="3949BB9A">
      <w:pPr>
        <w:spacing w:line="360" w:lineRule="auto"/>
        <w:ind w:firstLine="560" w:firstLineChars="200"/>
        <w:rPr>
          <w:rFonts w:ascii="宋体" w:hAnsi="宋体"/>
          <w:szCs w:val="28"/>
        </w:rPr>
      </w:pPr>
      <w:r>
        <w:rPr>
          <w:rFonts w:hint="eastAsia" w:ascii="宋体" w:hAnsi="宋体"/>
          <w:szCs w:val="28"/>
        </w:rPr>
        <w:t>（</w:t>
      </w:r>
      <w:r>
        <w:rPr>
          <w:rFonts w:ascii="宋体" w:hAnsi="宋体"/>
          <w:szCs w:val="28"/>
        </w:rPr>
        <w:t>4）城乡生态与环境规划</w:t>
      </w:r>
    </w:p>
    <w:p w14:paraId="159024B2">
      <w:pPr>
        <w:spacing w:line="360" w:lineRule="auto"/>
        <w:ind w:firstLine="560" w:firstLineChars="200"/>
        <w:rPr>
          <w:rFonts w:ascii="宋体" w:hAnsi="宋体"/>
          <w:szCs w:val="28"/>
        </w:rPr>
      </w:pPr>
      <w:r>
        <w:rPr>
          <w:rFonts w:hint="eastAsia" w:ascii="宋体" w:hAnsi="宋体"/>
          <w:szCs w:val="28"/>
        </w:rPr>
        <w:t>关注城乡生态环境与城乡安全，通过运用系统思维方式以及跨学科方法，基于城乡生态系统基础理论研究和解决城乡生态环境问题和城乡可持续发展问题。研究内容主要包括城市可持续发展、生态城市规划理论、生态城市发展模式、城市生态规划与城市设计、城市环境与城市污染治理、城市微气候与空间布局优化以及韧性城市规划等。</w:t>
      </w:r>
    </w:p>
    <w:bookmarkEnd w:id="0"/>
    <w:p w14:paraId="2F7DA26E">
      <w:pPr>
        <w:pStyle w:val="4"/>
        <w:rPr>
          <w:rStyle w:val="17"/>
          <w:b/>
          <w:bCs/>
        </w:rPr>
      </w:pPr>
      <w:r>
        <w:rPr>
          <w:rStyle w:val="17"/>
          <w:rFonts w:hint="eastAsia"/>
          <w:b/>
          <w:bCs/>
        </w:rPr>
        <w:t>2</w:t>
      </w:r>
      <w:r>
        <w:rPr>
          <w:rStyle w:val="17"/>
          <w:b/>
          <w:bCs/>
        </w:rPr>
        <w:t>.2师资队伍</w:t>
      </w:r>
    </w:p>
    <w:p w14:paraId="31F68BC5">
      <w:pPr>
        <w:spacing w:line="360" w:lineRule="auto"/>
        <w:ind w:firstLine="560" w:firstLineChars="200"/>
        <w:rPr>
          <w:rFonts w:ascii="宋体" w:hAnsi="宋体"/>
          <w:szCs w:val="28"/>
        </w:rPr>
      </w:pPr>
      <w:r>
        <w:rPr>
          <w:rFonts w:hint="eastAsia" w:ascii="宋体" w:hAnsi="宋体"/>
          <w:szCs w:val="28"/>
        </w:rPr>
        <w:t>城乡规划学硕士授权点现有专任教师</w:t>
      </w:r>
      <w:r>
        <w:rPr>
          <w:rFonts w:ascii="宋体" w:hAnsi="宋体"/>
          <w:szCs w:val="28"/>
        </w:rPr>
        <w:t>28人，其中教授6人，副教授8人，讲师14人。博士学历18人，占比64.3%</w:t>
      </w:r>
      <w:r>
        <w:rPr>
          <w:rFonts w:hint="eastAsia" w:ascii="宋体" w:hAnsi="宋体"/>
          <w:szCs w:val="28"/>
        </w:rPr>
        <w:t>，师资规模得到扩充，师资结构和学缘背景得到优化。教师中1人入选天津市“</w:t>
      </w:r>
      <w:r>
        <w:rPr>
          <w:rFonts w:ascii="宋体" w:hAnsi="宋体"/>
          <w:szCs w:val="28"/>
        </w:rPr>
        <w:t>131</w:t>
      </w:r>
      <w:r>
        <w:rPr>
          <w:rFonts w:hint="eastAsia" w:ascii="宋体" w:hAnsi="宋体"/>
          <w:szCs w:val="28"/>
        </w:rPr>
        <w:t>人才工程”第三层次，2人入选天津市高校“学科领军人才培养计划”，2人入选天津市高校“中青年骨干创新人才培养计划”，3人入选天津市高校“优秀青年教师资助计划”，多名教授兼任天津市城市规划学会、天津市城市规划协会等理事。张戈教授为学科负责人，刘立钧教授为学科带头人。</w:t>
      </w:r>
    </w:p>
    <w:p w14:paraId="5157B5B0">
      <w:pPr>
        <w:spacing w:line="360" w:lineRule="auto"/>
        <w:ind w:firstLine="560" w:firstLineChars="200"/>
        <w:rPr>
          <w:rFonts w:ascii="宋体" w:hAnsi="宋体"/>
          <w:szCs w:val="28"/>
        </w:rPr>
      </w:pPr>
      <w:r>
        <w:rPr>
          <w:rFonts w:hint="eastAsia" w:ascii="宋体" w:hAnsi="宋体"/>
          <w:szCs w:val="28"/>
        </w:rPr>
        <w:t>研究生校内导师</w:t>
      </w:r>
      <w:r>
        <w:rPr>
          <w:rFonts w:ascii="宋体" w:hAnsi="宋体"/>
          <w:szCs w:val="28"/>
        </w:rPr>
        <w:t>15人（含助理导师7人），承担研究生教学外聘兼职教师12人，其中8人为教授或正高级工程师</w:t>
      </w:r>
      <w:r>
        <w:rPr>
          <w:rFonts w:hint="eastAsia" w:ascii="宋体" w:hAnsi="宋体"/>
          <w:szCs w:val="28"/>
        </w:rPr>
        <w:t>；创建校级导师团队，采取“校内+企业”导师联合的双导师制。城乡规划学科逐步形成以中青年教师为骨干，发展趋势良好的师资队伍。各培养方向带头人与学术骨干如表2-1所示。</w:t>
      </w:r>
    </w:p>
    <w:p w14:paraId="37261F30">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表2-1城乡规划学专业硕士生导师团队研究方向一览表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731"/>
        <w:gridCol w:w="2092"/>
        <w:gridCol w:w="1885"/>
        <w:gridCol w:w="1885"/>
        <w:gridCol w:w="1883"/>
      </w:tblGrid>
      <w:tr w14:paraId="6D35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5" w:hRule="atLeast"/>
          <w:tblHeader/>
          <w:jc w:val="center"/>
        </w:trPr>
        <w:tc>
          <w:tcPr>
            <w:tcW w:w="431" w:type="pct"/>
            <w:vAlign w:val="center"/>
          </w:tcPr>
          <w:p w14:paraId="05ECFF55">
            <w:pPr>
              <w:jc w:val="center"/>
              <w:rPr>
                <w:rFonts w:hint="eastAsia" w:ascii="宋体" w:hAnsi="宋体" w:eastAsia="宋体" w:cs="宋体"/>
                <w:b/>
                <w:sz w:val="21"/>
                <w:szCs w:val="21"/>
              </w:rPr>
            </w:pPr>
            <w:r>
              <w:rPr>
                <w:rFonts w:hint="eastAsia" w:ascii="宋体" w:hAnsi="宋体" w:eastAsia="宋体" w:cs="宋体"/>
                <w:b/>
                <w:sz w:val="21"/>
                <w:szCs w:val="21"/>
              </w:rPr>
              <w:t>研究方向</w:t>
            </w:r>
          </w:p>
        </w:tc>
        <w:tc>
          <w:tcPr>
            <w:tcW w:w="1234" w:type="pct"/>
            <w:vAlign w:val="center"/>
          </w:tcPr>
          <w:p w14:paraId="47334B4A">
            <w:pPr>
              <w:jc w:val="center"/>
              <w:rPr>
                <w:rFonts w:hint="eastAsia" w:ascii="宋体" w:hAnsi="宋体" w:eastAsia="宋体" w:cs="宋体"/>
                <w:b/>
                <w:sz w:val="21"/>
                <w:szCs w:val="21"/>
              </w:rPr>
            </w:pPr>
            <w:r>
              <w:rPr>
                <w:rFonts w:hint="eastAsia" w:ascii="宋体" w:hAnsi="宋体" w:eastAsia="宋体" w:cs="宋体"/>
                <w:b/>
                <w:sz w:val="21"/>
                <w:szCs w:val="21"/>
              </w:rPr>
              <w:t>城乡规划与设计</w:t>
            </w:r>
          </w:p>
        </w:tc>
        <w:tc>
          <w:tcPr>
            <w:tcW w:w="1112" w:type="pct"/>
            <w:vAlign w:val="center"/>
          </w:tcPr>
          <w:p w14:paraId="6B47D6E7">
            <w:pPr>
              <w:jc w:val="center"/>
              <w:rPr>
                <w:rFonts w:hint="eastAsia" w:ascii="宋体" w:hAnsi="宋体" w:eastAsia="宋体" w:cs="宋体"/>
                <w:b/>
                <w:sz w:val="21"/>
                <w:szCs w:val="21"/>
              </w:rPr>
            </w:pPr>
            <w:r>
              <w:rPr>
                <w:rFonts w:hint="eastAsia" w:ascii="宋体" w:hAnsi="宋体" w:eastAsia="宋体" w:cs="宋体"/>
                <w:b/>
                <w:sz w:val="21"/>
                <w:szCs w:val="21"/>
              </w:rPr>
              <w:t>城乡历史文化遗产保护规划</w:t>
            </w:r>
          </w:p>
        </w:tc>
        <w:tc>
          <w:tcPr>
            <w:tcW w:w="1112" w:type="pct"/>
            <w:vAlign w:val="center"/>
          </w:tcPr>
          <w:p w14:paraId="7E59F785">
            <w:pPr>
              <w:jc w:val="center"/>
              <w:rPr>
                <w:rFonts w:hint="eastAsia" w:ascii="宋体" w:hAnsi="宋体" w:eastAsia="宋体" w:cs="宋体"/>
                <w:b/>
                <w:sz w:val="21"/>
                <w:szCs w:val="21"/>
              </w:rPr>
            </w:pPr>
            <w:r>
              <w:rPr>
                <w:rFonts w:hint="eastAsia" w:ascii="宋体" w:hAnsi="宋体" w:eastAsia="宋体" w:cs="宋体"/>
                <w:b/>
                <w:sz w:val="21"/>
                <w:szCs w:val="21"/>
              </w:rPr>
              <w:t>区域规划与空间发展战略</w:t>
            </w:r>
          </w:p>
        </w:tc>
        <w:tc>
          <w:tcPr>
            <w:tcW w:w="1111" w:type="pct"/>
            <w:vAlign w:val="center"/>
          </w:tcPr>
          <w:p w14:paraId="30D29946">
            <w:pPr>
              <w:jc w:val="center"/>
              <w:rPr>
                <w:rFonts w:hint="eastAsia" w:ascii="宋体" w:hAnsi="宋体" w:eastAsia="宋体" w:cs="宋体"/>
                <w:b/>
                <w:sz w:val="21"/>
                <w:szCs w:val="21"/>
              </w:rPr>
            </w:pPr>
            <w:r>
              <w:rPr>
                <w:rFonts w:hint="eastAsia" w:ascii="宋体" w:hAnsi="宋体" w:eastAsia="宋体" w:cs="宋体"/>
                <w:b/>
                <w:sz w:val="21"/>
                <w:szCs w:val="21"/>
              </w:rPr>
              <w:t>城乡生态与环境规划</w:t>
            </w:r>
          </w:p>
        </w:tc>
      </w:tr>
      <w:tr w14:paraId="0528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96" w:hRule="atLeast"/>
          <w:jc w:val="center"/>
        </w:trPr>
        <w:tc>
          <w:tcPr>
            <w:tcW w:w="431" w:type="pct"/>
            <w:vAlign w:val="center"/>
          </w:tcPr>
          <w:p w14:paraId="068B3F10">
            <w:pPr>
              <w:jc w:val="center"/>
              <w:rPr>
                <w:rFonts w:hint="eastAsia" w:ascii="宋体" w:hAnsi="宋体" w:eastAsia="宋体" w:cs="宋体"/>
                <w:b/>
                <w:sz w:val="21"/>
                <w:szCs w:val="21"/>
              </w:rPr>
            </w:pPr>
            <w:r>
              <w:rPr>
                <w:rFonts w:hint="eastAsia" w:ascii="宋体" w:hAnsi="宋体" w:eastAsia="宋体" w:cs="宋体"/>
                <w:b/>
                <w:sz w:val="21"/>
                <w:szCs w:val="21"/>
              </w:rPr>
              <w:t>导师</w:t>
            </w:r>
          </w:p>
        </w:tc>
        <w:tc>
          <w:tcPr>
            <w:tcW w:w="1234" w:type="pct"/>
            <w:vAlign w:val="center"/>
          </w:tcPr>
          <w:p w14:paraId="3A9DD27B">
            <w:pPr>
              <w:wordWrap w:val="0"/>
              <w:topLinePunct/>
              <w:jc w:val="center"/>
              <w:rPr>
                <w:rFonts w:hint="eastAsia" w:ascii="宋体" w:hAnsi="宋体" w:eastAsia="宋体" w:cs="宋体"/>
                <w:sz w:val="21"/>
                <w:szCs w:val="21"/>
              </w:rPr>
            </w:pPr>
            <w:r>
              <w:rPr>
                <w:rFonts w:hint="eastAsia" w:ascii="宋体" w:hAnsi="宋体" w:eastAsia="宋体" w:cs="宋体"/>
                <w:sz w:val="21"/>
                <w:szCs w:val="21"/>
              </w:rPr>
              <w:t>张戈、杨艳红、宫同伟、周长林</w:t>
            </w:r>
            <w:r>
              <w:rPr>
                <w:rFonts w:hint="eastAsia" w:ascii="宋体" w:hAnsi="宋体" w:eastAsia="宋体" w:cs="宋体"/>
                <w:b/>
                <w:sz w:val="21"/>
                <w:szCs w:val="21"/>
                <w:vertAlign w:val="superscript"/>
              </w:rPr>
              <w:t>*</w:t>
            </w:r>
            <w:r>
              <w:rPr>
                <w:rFonts w:hint="eastAsia" w:ascii="宋体" w:hAnsi="宋体" w:eastAsia="宋体" w:cs="宋体"/>
                <w:sz w:val="21"/>
                <w:szCs w:val="21"/>
              </w:rPr>
              <w:t>、曾鹏</w:t>
            </w:r>
            <w:r>
              <w:rPr>
                <w:rFonts w:hint="eastAsia" w:ascii="宋体" w:hAnsi="宋体" w:eastAsia="宋体" w:cs="宋体"/>
                <w:b/>
                <w:sz w:val="21"/>
                <w:szCs w:val="21"/>
                <w:vertAlign w:val="superscript"/>
              </w:rPr>
              <w:t>*</w:t>
            </w:r>
            <w:r>
              <w:rPr>
                <w:rFonts w:hint="eastAsia" w:ascii="宋体" w:hAnsi="宋体" w:eastAsia="宋体" w:cs="宋体"/>
                <w:sz w:val="21"/>
                <w:szCs w:val="21"/>
              </w:rPr>
              <w:t>、许熙巍</w:t>
            </w:r>
            <w:r>
              <w:rPr>
                <w:rFonts w:hint="eastAsia" w:ascii="宋体" w:hAnsi="宋体" w:eastAsia="宋体" w:cs="宋体"/>
                <w:b/>
                <w:sz w:val="21"/>
                <w:szCs w:val="21"/>
                <w:vertAlign w:val="superscript"/>
              </w:rPr>
              <w:t>*</w:t>
            </w:r>
            <w:r>
              <w:rPr>
                <w:rFonts w:hint="eastAsia" w:ascii="宋体" w:hAnsi="宋体" w:eastAsia="宋体" w:cs="宋体"/>
                <w:sz w:val="21"/>
                <w:szCs w:val="21"/>
              </w:rPr>
              <w:t>、张白石</w:t>
            </w:r>
            <w:r>
              <w:rPr>
                <w:rFonts w:hint="eastAsia" w:ascii="宋体" w:hAnsi="宋体" w:eastAsia="宋体" w:cs="宋体"/>
                <w:b/>
                <w:sz w:val="21"/>
                <w:szCs w:val="21"/>
                <w:vertAlign w:val="superscript"/>
              </w:rPr>
              <w:t>*</w:t>
            </w:r>
            <w:r>
              <w:rPr>
                <w:rFonts w:hint="eastAsia" w:ascii="宋体" w:hAnsi="宋体" w:eastAsia="宋体" w:cs="宋体"/>
                <w:sz w:val="21"/>
                <w:szCs w:val="21"/>
              </w:rPr>
              <w:t>、杨军</w:t>
            </w:r>
            <w:r>
              <w:rPr>
                <w:rFonts w:hint="eastAsia" w:ascii="宋体" w:hAnsi="宋体" w:eastAsia="宋体" w:cs="宋体"/>
                <w:b/>
                <w:sz w:val="21"/>
                <w:szCs w:val="21"/>
                <w:vertAlign w:val="superscript"/>
              </w:rPr>
              <w:t>*</w:t>
            </w:r>
          </w:p>
        </w:tc>
        <w:tc>
          <w:tcPr>
            <w:tcW w:w="1112" w:type="pct"/>
            <w:vAlign w:val="center"/>
          </w:tcPr>
          <w:p w14:paraId="728FDF53">
            <w:pPr>
              <w:wordWrap w:val="0"/>
              <w:topLinePunct/>
              <w:jc w:val="center"/>
              <w:rPr>
                <w:rFonts w:hint="eastAsia" w:ascii="宋体" w:hAnsi="宋体" w:eastAsia="宋体" w:cs="宋体"/>
                <w:sz w:val="21"/>
                <w:szCs w:val="21"/>
              </w:rPr>
            </w:pPr>
            <w:r>
              <w:rPr>
                <w:rFonts w:hint="eastAsia" w:ascii="宋体" w:hAnsi="宋体" w:eastAsia="宋体" w:cs="宋体"/>
                <w:sz w:val="21"/>
                <w:szCs w:val="21"/>
              </w:rPr>
              <w:t>林耕、刘立钧、汪江华、谭立峰、兰旭、李津莉</w:t>
            </w:r>
            <w:r>
              <w:rPr>
                <w:rFonts w:hint="eastAsia" w:ascii="宋体" w:hAnsi="宋体" w:eastAsia="宋体" w:cs="宋体"/>
                <w:b/>
                <w:sz w:val="21"/>
                <w:szCs w:val="21"/>
                <w:vertAlign w:val="superscript"/>
              </w:rPr>
              <w:t>*</w:t>
            </w:r>
            <w:r>
              <w:rPr>
                <w:rFonts w:hint="eastAsia" w:ascii="宋体" w:hAnsi="宋体" w:eastAsia="宋体" w:cs="宋体"/>
                <w:sz w:val="21"/>
                <w:szCs w:val="21"/>
              </w:rPr>
              <w:t>、朱雪梅</w:t>
            </w:r>
            <w:r>
              <w:rPr>
                <w:rFonts w:hint="eastAsia" w:ascii="宋体" w:hAnsi="宋体" w:eastAsia="宋体" w:cs="宋体"/>
                <w:b/>
                <w:sz w:val="21"/>
                <w:szCs w:val="21"/>
                <w:vertAlign w:val="superscript"/>
              </w:rPr>
              <w:t>*</w:t>
            </w:r>
          </w:p>
        </w:tc>
        <w:tc>
          <w:tcPr>
            <w:tcW w:w="1112" w:type="pct"/>
            <w:vAlign w:val="center"/>
          </w:tcPr>
          <w:p w14:paraId="35A097A5">
            <w:pPr>
              <w:wordWrap w:val="0"/>
              <w:topLinePunct/>
              <w:jc w:val="center"/>
              <w:rPr>
                <w:rFonts w:hint="eastAsia" w:ascii="宋体" w:hAnsi="宋体" w:eastAsia="宋体" w:cs="宋体"/>
                <w:sz w:val="21"/>
                <w:szCs w:val="21"/>
              </w:rPr>
            </w:pPr>
            <w:r>
              <w:rPr>
                <w:rFonts w:hint="eastAsia" w:ascii="宋体" w:hAnsi="宋体" w:eastAsia="宋体" w:cs="宋体"/>
                <w:sz w:val="21"/>
                <w:szCs w:val="21"/>
              </w:rPr>
              <w:t>王振坡、李鹏波、严佳</w:t>
            </w:r>
            <w:r>
              <w:rPr>
                <w:rFonts w:hint="eastAsia" w:ascii="宋体" w:hAnsi="宋体" w:eastAsia="宋体" w:cs="宋体"/>
                <w:b/>
                <w:sz w:val="21"/>
                <w:szCs w:val="21"/>
                <w:vertAlign w:val="superscript"/>
              </w:rPr>
              <w:t>*</w:t>
            </w:r>
            <w:r>
              <w:rPr>
                <w:rFonts w:hint="eastAsia" w:ascii="宋体" w:hAnsi="宋体" w:eastAsia="宋体" w:cs="宋体"/>
                <w:sz w:val="21"/>
                <w:szCs w:val="21"/>
              </w:rPr>
              <w:t>、张勇</w:t>
            </w:r>
            <w:r>
              <w:rPr>
                <w:rFonts w:hint="eastAsia" w:ascii="宋体" w:hAnsi="宋体" w:eastAsia="宋体" w:cs="宋体"/>
                <w:b/>
                <w:sz w:val="21"/>
                <w:szCs w:val="21"/>
                <w:vertAlign w:val="superscript"/>
              </w:rPr>
              <w:t>*</w:t>
            </w:r>
          </w:p>
        </w:tc>
        <w:tc>
          <w:tcPr>
            <w:tcW w:w="1111" w:type="pct"/>
            <w:vAlign w:val="center"/>
          </w:tcPr>
          <w:p w14:paraId="0183078B">
            <w:pPr>
              <w:wordWrap w:val="0"/>
              <w:topLinePunct/>
              <w:jc w:val="center"/>
              <w:rPr>
                <w:rFonts w:hint="eastAsia" w:ascii="宋体" w:hAnsi="宋体" w:eastAsia="宋体" w:cs="宋体"/>
                <w:sz w:val="21"/>
                <w:szCs w:val="21"/>
              </w:rPr>
            </w:pPr>
            <w:r>
              <w:rPr>
                <w:rFonts w:hint="eastAsia" w:ascii="宋体" w:hAnsi="宋体" w:eastAsia="宋体" w:cs="宋体"/>
                <w:sz w:val="21"/>
                <w:szCs w:val="21"/>
              </w:rPr>
              <w:t>曾穗平、孙媛媛、陆琳、吴琛、席丽莎、陈天</w:t>
            </w:r>
            <w:r>
              <w:rPr>
                <w:rFonts w:hint="eastAsia" w:ascii="宋体" w:hAnsi="宋体" w:eastAsia="宋体" w:cs="宋体"/>
                <w:b/>
                <w:sz w:val="21"/>
                <w:szCs w:val="21"/>
                <w:vertAlign w:val="superscript"/>
              </w:rPr>
              <w:t>*</w:t>
            </w:r>
            <w:r>
              <w:rPr>
                <w:rFonts w:hint="eastAsia" w:ascii="宋体" w:hAnsi="宋体" w:eastAsia="宋体" w:cs="宋体"/>
                <w:sz w:val="21"/>
                <w:szCs w:val="21"/>
              </w:rPr>
              <w:t>、张赫</w:t>
            </w:r>
            <w:r>
              <w:rPr>
                <w:rFonts w:hint="eastAsia" w:ascii="宋体" w:hAnsi="宋体" w:eastAsia="宋体" w:cs="宋体"/>
                <w:b/>
                <w:sz w:val="21"/>
                <w:szCs w:val="21"/>
                <w:vertAlign w:val="superscript"/>
              </w:rPr>
              <w:t>*</w:t>
            </w:r>
            <w:r>
              <w:rPr>
                <w:rFonts w:hint="eastAsia" w:ascii="宋体" w:hAnsi="宋体" w:eastAsia="宋体" w:cs="宋体"/>
                <w:sz w:val="21"/>
                <w:szCs w:val="21"/>
              </w:rPr>
              <w:t>、田健</w:t>
            </w:r>
            <w:r>
              <w:rPr>
                <w:rFonts w:hint="eastAsia" w:ascii="宋体" w:hAnsi="宋体" w:eastAsia="宋体" w:cs="宋体"/>
                <w:b/>
                <w:sz w:val="21"/>
                <w:szCs w:val="21"/>
                <w:vertAlign w:val="superscript"/>
              </w:rPr>
              <w:t>*</w:t>
            </w:r>
          </w:p>
        </w:tc>
      </w:tr>
      <w:tr w14:paraId="0C4C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29" w:hRule="atLeast"/>
          <w:jc w:val="center"/>
        </w:trPr>
        <w:tc>
          <w:tcPr>
            <w:tcW w:w="431" w:type="pct"/>
            <w:vAlign w:val="center"/>
          </w:tcPr>
          <w:p w14:paraId="40603604">
            <w:pPr>
              <w:jc w:val="center"/>
              <w:rPr>
                <w:rFonts w:hint="eastAsia" w:ascii="宋体" w:hAnsi="宋体" w:eastAsia="宋体" w:cs="宋体"/>
                <w:b/>
                <w:sz w:val="21"/>
                <w:szCs w:val="21"/>
              </w:rPr>
            </w:pPr>
            <w:r>
              <w:rPr>
                <w:rFonts w:hint="eastAsia" w:ascii="宋体" w:hAnsi="宋体" w:eastAsia="宋体" w:cs="宋体"/>
                <w:b/>
                <w:sz w:val="21"/>
                <w:szCs w:val="21"/>
              </w:rPr>
              <w:t>团队教师</w:t>
            </w:r>
          </w:p>
        </w:tc>
        <w:tc>
          <w:tcPr>
            <w:tcW w:w="1234" w:type="pct"/>
            <w:vAlign w:val="center"/>
          </w:tcPr>
          <w:p w14:paraId="35E09236">
            <w:pPr>
              <w:jc w:val="center"/>
              <w:rPr>
                <w:rFonts w:hint="eastAsia" w:ascii="宋体" w:hAnsi="宋体" w:eastAsia="宋体" w:cs="宋体"/>
                <w:sz w:val="21"/>
                <w:szCs w:val="21"/>
              </w:rPr>
            </w:pPr>
            <w:r>
              <w:rPr>
                <w:rFonts w:hint="eastAsia" w:ascii="宋体" w:hAnsi="宋体" w:eastAsia="宋体" w:cs="宋体"/>
                <w:sz w:val="21"/>
                <w:szCs w:val="21"/>
              </w:rPr>
              <w:t>张天宇、孙永青、刘欣、李巍、杨向群、李峰、</w:t>
            </w:r>
          </w:p>
        </w:tc>
        <w:tc>
          <w:tcPr>
            <w:tcW w:w="1112" w:type="pct"/>
            <w:vAlign w:val="center"/>
          </w:tcPr>
          <w:p w14:paraId="7AD94185">
            <w:pPr>
              <w:jc w:val="center"/>
              <w:rPr>
                <w:rFonts w:hint="eastAsia" w:ascii="宋体" w:hAnsi="宋体" w:eastAsia="宋体" w:cs="宋体"/>
                <w:sz w:val="21"/>
                <w:szCs w:val="21"/>
              </w:rPr>
            </w:pPr>
            <w:r>
              <w:rPr>
                <w:rFonts w:hint="eastAsia" w:ascii="宋体" w:hAnsi="宋体" w:eastAsia="宋体" w:cs="宋体"/>
                <w:sz w:val="21"/>
                <w:szCs w:val="21"/>
              </w:rPr>
              <w:t>徐蕾、张秀芹、于伟、徐冰、陈立镜</w:t>
            </w:r>
          </w:p>
        </w:tc>
        <w:tc>
          <w:tcPr>
            <w:tcW w:w="1112" w:type="pct"/>
            <w:vAlign w:val="center"/>
          </w:tcPr>
          <w:p w14:paraId="7F389B2F">
            <w:pPr>
              <w:jc w:val="center"/>
              <w:rPr>
                <w:rFonts w:hint="eastAsia" w:ascii="宋体" w:hAnsi="宋体" w:eastAsia="宋体" w:cs="宋体"/>
                <w:sz w:val="21"/>
                <w:szCs w:val="21"/>
              </w:rPr>
            </w:pPr>
            <w:r>
              <w:rPr>
                <w:rFonts w:hint="eastAsia" w:ascii="宋体" w:hAnsi="宋体" w:eastAsia="宋体" w:cs="宋体"/>
                <w:sz w:val="21"/>
                <w:szCs w:val="21"/>
              </w:rPr>
              <w:t>朱凤杰、赵晓燕、杨佳璇、车冠琼、白玉静</w:t>
            </w:r>
          </w:p>
        </w:tc>
        <w:tc>
          <w:tcPr>
            <w:tcW w:w="1111" w:type="pct"/>
            <w:vAlign w:val="center"/>
          </w:tcPr>
          <w:p w14:paraId="3DBDA60C">
            <w:pPr>
              <w:jc w:val="center"/>
              <w:rPr>
                <w:rFonts w:hint="eastAsia" w:ascii="宋体" w:hAnsi="宋体" w:eastAsia="宋体" w:cs="宋体"/>
                <w:sz w:val="21"/>
                <w:szCs w:val="21"/>
              </w:rPr>
            </w:pPr>
            <w:r>
              <w:rPr>
                <w:rFonts w:hint="eastAsia" w:ascii="宋体" w:hAnsi="宋体" w:eastAsia="宋体" w:cs="宋体"/>
                <w:sz w:val="21"/>
                <w:szCs w:val="21"/>
              </w:rPr>
              <w:t>常成、王滢、李发明、徐嵩</w:t>
            </w:r>
          </w:p>
        </w:tc>
      </w:tr>
    </w:tbl>
    <w:p w14:paraId="05484A38">
      <w:pPr>
        <w:spacing w:after="156" w:afterLines="50" w:line="300" w:lineRule="exact"/>
        <w:jc w:val="left"/>
        <w:rPr>
          <w:rFonts w:ascii="黑体" w:hAnsi="黑体" w:eastAsia="黑体"/>
          <w:sz w:val="21"/>
          <w:szCs w:val="21"/>
        </w:rPr>
      </w:pPr>
      <w:r>
        <w:rPr>
          <w:rFonts w:hint="eastAsia" w:ascii="黑体" w:hAnsi="黑体" w:eastAsia="黑体"/>
          <w:sz w:val="21"/>
          <w:szCs w:val="21"/>
        </w:rPr>
        <w:t>*</w:t>
      </w:r>
      <w:r>
        <w:rPr>
          <w:rFonts w:ascii="黑体" w:hAnsi="黑体" w:eastAsia="黑体"/>
          <w:sz w:val="21"/>
          <w:szCs w:val="21"/>
        </w:rPr>
        <w:t>为校外</w:t>
      </w:r>
      <w:r>
        <w:rPr>
          <w:rFonts w:hint="eastAsia" w:ascii="黑体" w:hAnsi="黑体" w:eastAsia="黑体"/>
          <w:sz w:val="21"/>
          <w:szCs w:val="21"/>
        </w:rPr>
        <w:t>兼职硕士生导师</w:t>
      </w:r>
    </w:p>
    <w:p w14:paraId="0F5EE1A4">
      <w:pPr>
        <w:pStyle w:val="4"/>
      </w:pPr>
      <w:r>
        <w:rPr>
          <w:rFonts w:hint="eastAsia"/>
        </w:rPr>
        <w:t>2</w:t>
      </w:r>
      <w:r>
        <w:t>.3科学研究</w:t>
      </w:r>
    </w:p>
    <w:p w14:paraId="2A250118">
      <w:pPr>
        <w:widowControl/>
        <w:shd w:val="clear" w:color="auto" w:fill="FFFFFF"/>
        <w:ind w:firstLine="560" w:firstLineChars="200"/>
        <w:jc w:val="left"/>
        <w:rPr>
          <w:rFonts w:ascii="宋体" w:hAnsi="宋体"/>
        </w:rPr>
      </w:pPr>
      <w:r>
        <w:rPr>
          <w:rFonts w:hint="eastAsia" w:ascii="宋体" w:hAnsi="宋体"/>
        </w:rPr>
        <w:t>学院积极拓宽渠道，以京津冀协同发展、服务滨海新区以及新农村建设为契机，发挥学校的办学特色，鼓励导师与研究生积极开展科研工作。经过多年的摸索，我院导师团队在城乡规划与设计、城乡历史遗产保护规划、区域规划与空间发展战略、城市生态与环境规划等主要研究方向形成了一批科研成果。</w:t>
      </w:r>
      <w:r>
        <w:rPr>
          <w:rFonts w:ascii="宋体" w:hAnsi="宋体"/>
        </w:rPr>
        <w:t>2017年以来，城乡规划学专业教师承担和完成的纵向科研项目共计35项，其中包括国家自然科学基金项目4项，国家重点研发计划子课题2项，其他省部级课题29项；承担横向课题60余项；公开发表学术论文90余篇，其中SCI2篇、SSCI2篇、核心期刊（CSCD、CSSCI、北大核心等）和高水平期刊（中国科协T1、T2、T3）论文36篇，出版著作7部。</w:t>
      </w:r>
    </w:p>
    <w:p w14:paraId="7E88CE9B">
      <w:pPr>
        <w:pStyle w:val="4"/>
        <w:rPr>
          <w:rFonts w:ascii="宋体" w:hAnsi="宋体" w:eastAsia="宋体"/>
          <w:szCs w:val="22"/>
        </w:rPr>
      </w:pPr>
      <w:r>
        <w:rPr>
          <w:rFonts w:hint="eastAsia"/>
        </w:rPr>
        <w:t>2</w:t>
      </w:r>
      <w:r>
        <w:t>.4教学科研支撑</w:t>
      </w:r>
    </w:p>
    <w:p w14:paraId="116E1E9D">
      <w:pPr>
        <w:spacing w:line="360" w:lineRule="auto"/>
        <w:ind w:firstLine="560" w:firstLineChars="200"/>
        <w:rPr>
          <w:rFonts w:ascii="宋体" w:hAnsi="宋体"/>
          <w:szCs w:val="28"/>
        </w:rPr>
      </w:pPr>
      <w:r>
        <w:rPr>
          <w:rFonts w:hint="eastAsia" w:ascii="宋体" w:hAnsi="宋体"/>
          <w:szCs w:val="28"/>
        </w:rPr>
        <w:t>依托实践基地与科技平台，强化教研团队与平台建设，增强实践育人的能力。现有“城市绿色发展研究中心”</w:t>
      </w:r>
      <w:r>
        <w:rPr>
          <w:rFonts w:hint="eastAsia" w:ascii="宋体" w:hAnsi="宋体"/>
          <w:szCs w:val="28"/>
          <w:lang w:eastAsia="zh-CN"/>
        </w:rPr>
        <w:t>、</w:t>
      </w:r>
      <w:r>
        <w:rPr>
          <w:rFonts w:hint="eastAsia" w:ascii="宋体" w:hAnsi="宋体"/>
          <w:szCs w:val="28"/>
        </w:rPr>
        <w:t>“天津绿色建筑协同创新中心”</w:t>
      </w:r>
      <w:r>
        <w:rPr>
          <w:rFonts w:hint="eastAsia" w:ascii="宋体" w:hAnsi="宋体"/>
          <w:szCs w:val="28"/>
          <w:lang w:eastAsia="zh-CN"/>
        </w:rPr>
        <w:t>、</w:t>
      </w:r>
      <w:r>
        <w:rPr>
          <w:rFonts w:hint="eastAsia" w:ascii="宋体" w:hAnsi="宋体"/>
          <w:szCs w:val="28"/>
        </w:rPr>
        <w:t>“天津市绿色住区建设技术工程中心”</w:t>
      </w:r>
      <w:r>
        <w:rPr>
          <w:rFonts w:hint="eastAsia" w:ascii="宋体" w:hAnsi="宋体"/>
          <w:szCs w:val="28"/>
          <w:lang w:eastAsia="zh-CN"/>
        </w:rPr>
        <w:t>、</w:t>
      </w:r>
      <w:r>
        <w:rPr>
          <w:rFonts w:hint="eastAsia" w:ascii="宋体" w:hAnsi="宋体"/>
          <w:szCs w:val="28"/>
        </w:rPr>
        <w:t>“人居环境实验教学示范中心”</w:t>
      </w:r>
      <w:r>
        <w:rPr>
          <w:rFonts w:hint="eastAsia" w:ascii="宋体" w:hAnsi="宋体"/>
          <w:szCs w:val="28"/>
          <w:lang w:eastAsia="zh-CN"/>
        </w:rPr>
        <w:t>、</w:t>
      </w:r>
      <w:r>
        <w:rPr>
          <w:rFonts w:hint="eastAsia" w:ascii="宋体" w:hAnsi="宋体"/>
          <w:szCs w:val="28"/>
        </w:rPr>
        <w:t>“天津城镇化与新农村建设研究中心”</w:t>
      </w:r>
      <w:r>
        <w:rPr>
          <w:rFonts w:ascii="宋体" w:hAnsi="宋体"/>
          <w:szCs w:val="28"/>
        </w:rPr>
        <w:t>5个市级科技平台，形成了专业化教学研究平台和团队，以天津城建大学建筑设计研究院为主要实训基地，同时与天津市城市规划设计研究院、天津建筑设计研究院等8家建筑、规划企事业单位共建产学研基地。强化实践训练，培养基础扎实、专业与实践能力强、综合素质高、具有创新精神和创业能力的规划学科实用型应用人才。</w:t>
      </w:r>
    </w:p>
    <w:p w14:paraId="1FFBF796">
      <w:pPr>
        <w:spacing w:line="360" w:lineRule="auto"/>
        <w:ind w:firstLine="560" w:firstLineChars="200"/>
        <w:rPr>
          <w:rFonts w:ascii="宋体" w:hAnsi="宋体"/>
          <w:szCs w:val="28"/>
        </w:rPr>
      </w:pPr>
      <w:r>
        <w:rPr>
          <w:rFonts w:hint="eastAsia" w:ascii="宋体" w:hAnsi="宋体"/>
          <w:szCs w:val="28"/>
        </w:rPr>
        <w:t>针对研究生多层次的教育教学活动，以研究团队的形式开展研究生培养工作。目前，已建立乡村振兴研究、历史城镇规划研究、遗产保护与城乡发展研究、韧性国土与智慧城乡研究、城市交通研究五个教研团队。各团队均由研究生导师、理论课教师、企业导师共同组成，以科研为引领，发挥各教研团队的特色优势，在研究方向、研究技术、工程实践等多方面，积极深入开展科研活动和学术交流，由此形成了“基础理论</w:t>
      </w:r>
      <w:r>
        <w:rPr>
          <w:rFonts w:ascii="宋体" w:hAnsi="宋体"/>
          <w:szCs w:val="28"/>
        </w:rPr>
        <w:t>+科研引领+行业实践”三位一体的协同创新模式。</w:t>
      </w:r>
    </w:p>
    <w:p w14:paraId="6630ED60">
      <w:pPr>
        <w:pStyle w:val="4"/>
        <w:rPr>
          <w:rFonts w:ascii="宋体" w:hAnsi="宋体" w:eastAsia="宋体" w:cs="Arial"/>
          <w:kern w:val="0"/>
        </w:rPr>
      </w:pPr>
      <w:r>
        <w:rPr>
          <w:rFonts w:hint="eastAsia"/>
        </w:rPr>
        <w:t>2</w:t>
      </w:r>
      <w:r>
        <w:t>.5</w:t>
      </w:r>
      <w:r>
        <w:rPr>
          <w:rFonts w:hint="eastAsia"/>
        </w:rPr>
        <w:t>奖助体系</w:t>
      </w:r>
    </w:p>
    <w:p w14:paraId="392DE296">
      <w:pPr>
        <w:spacing w:line="360" w:lineRule="auto"/>
        <w:ind w:firstLine="560" w:firstLineChars="200"/>
        <w:rPr>
          <w:rFonts w:hint="eastAsia" w:ascii="宋体" w:hAnsi="宋体"/>
          <w:szCs w:val="28"/>
        </w:rPr>
      </w:pPr>
      <w:r>
        <w:rPr>
          <w:rFonts w:hint="eastAsia" w:ascii="宋体" w:hAnsi="宋体"/>
          <w:szCs w:val="28"/>
        </w:rPr>
        <w:t>天津城建大学具有完备的研究生奖助体系（表</w:t>
      </w:r>
      <w:r>
        <w:rPr>
          <w:rFonts w:ascii="宋体" w:hAnsi="宋体"/>
          <w:szCs w:val="28"/>
        </w:rPr>
        <w:t>2</w:t>
      </w:r>
      <w:r>
        <w:rPr>
          <w:rFonts w:hint="eastAsia" w:ascii="宋体" w:hAnsi="宋体"/>
          <w:szCs w:val="28"/>
        </w:rPr>
        <w:t>-</w:t>
      </w:r>
      <w:r>
        <w:rPr>
          <w:rFonts w:ascii="宋体" w:hAnsi="宋体"/>
          <w:szCs w:val="28"/>
        </w:rPr>
        <w:t>2</w:t>
      </w:r>
      <w:r>
        <w:rPr>
          <w:rFonts w:hint="eastAsia" w:ascii="宋体" w:hAnsi="宋体"/>
          <w:szCs w:val="28"/>
        </w:rPr>
        <w:t>）。研究生奖学金包括国家奖学金、三助奖学金和学业奖学金。其中，三助奖学金和学业奖学金覆盖率为100%。</w:t>
      </w:r>
    </w:p>
    <w:p w14:paraId="40D3B444">
      <w:pPr>
        <w:spacing w:line="360" w:lineRule="auto"/>
        <w:ind w:firstLine="560" w:firstLineChars="200"/>
        <w:rPr>
          <w:rFonts w:hint="eastAsia" w:ascii="宋体" w:hAnsi="宋体"/>
          <w:szCs w:val="28"/>
        </w:rPr>
      </w:pPr>
    </w:p>
    <w:p w14:paraId="4BFFBDDC">
      <w:pPr>
        <w:spacing w:line="360" w:lineRule="auto"/>
        <w:ind w:firstLine="560" w:firstLineChars="200"/>
        <w:rPr>
          <w:rFonts w:hint="eastAsia" w:ascii="宋体" w:hAnsi="宋体"/>
          <w:szCs w:val="28"/>
        </w:rPr>
      </w:pPr>
    </w:p>
    <w:p w14:paraId="368892D5">
      <w:pPr>
        <w:spacing w:line="360" w:lineRule="auto"/>
        <w:ind w:firstLine="560" w:firstLineChars="200"/>
        <w:rPr>
          <w:rFonts w:hint="eastAsia" w:ascii="宋体" w:hAnsi="宋体"/>
          <w:szCs w:val="28"/>
        </w:rPr>
      </w:pPr>
    </w:p>
    <w:p w14:paraId="5645C778">
      <w:pPr>
        <w:jc w:val="center"/>
        <w:rPr>
          <w:rFonts w:hint="eastAsia" w:ascii="宋体" w:hAnsi="宋体" w:eastAsia="宋体" w:cs="宋体"/>
          <w:bCs/>
          <w:sz w:val="21"/>
          <w:szCs w:val="21"/>
        </w:rPr>
      </w:pPr>
      <w:r>
        <w:rPr>
          <w:rFonts w:hint="eastAsia" w:ascii="宋体" w:hAnsi="宋体" w:eastAsia="宋体" w:cs="宋体"/>
          <w:sz w:val="21"/>
          <w:szCs w:val="21"/>
        </w:rPr>
        <w:t xml:space="preserve">表2-2 </w:t>
      </w:r>
      <w:r>
        <w:rPr>
          <w:rFonts w:hint="eastAsia" w:ascii="宋体" w:hAnsi="宋体" w:eastAsia="宋体" w:cs="宋体"/>
          <w:bCs/>
          <w:sz w:val="21"/>
          <w:szCs w:val="21"/>
        </w:rPr>
        <w:t>研究生奖助体系情况汇总表</w:t>
      </w:r>
    </w:p>
    <w:tbl>
      <w:tblPr>
        <w:tblStyle w:val="8"/>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694"/>
        <w:gridCol w:w="3806"/>
        <w:gridCol w:w="1276"/>
        <w:gridCol w:w="846"/>
      </w:tblGrid>
      <w:tr w14:paraId="00ED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2" w:type="dxa"/>
            <w:shd w:val="clear" w:color="auto" w:fill="auto"/>
            <w:vAlign w:val="center"/>
          </w:tcPr>
          <w:p w14:paraId="7CD419CD">
            <w:pPr>
              <w:rPr>
                <w:rFonts w:hint="eastAsia" w:ascii="宋体" w:hAnsi="宋体" w:eastAsia="宋体" w:cs="宋体"/>
                <w:b/>
                <w:sz w:val="21"/>
                <w:szCs w:val="21"/>
              </w:rPr>
            </w:pPr>
            <w:r>
              <w:rPr>
                <w:rFonts w:hint="eastAsia" w:ascii="宋体" w:hAnsi="宋体" w:eastAsia="宋体" w:cs="宋体"/>
                <w:b/>
                <w:sz w:val="21"/>
                <w:szCs w:val="21"/>
              </w:rPr>
              <w:t>序号</w:t>
            </w:r>
          </w:p>
        </w:tc>
        <w:tc>
          <w:tcPr>
            <w:tcW w:w="1694" w:type="dxa"/>
            <w:shd w:val="clear" w:color="auto" w:fill="auto"/>
            <w:vAlign w:val="center"/>
          </w:tcPr>
          <w:p w14:paraId="4AECFC8D">
            <w:pPr>
              <w:rPr>
                <w:rFonts w:hint="eastAsia" w:ascii="宋体" w:hAnsi="宋体" w:eastAsia="宋体" w:cs="宋体"/>
                <w:b/>
                <w:sz w:val="21"/>
                <w:szCs w:val="21"/>
              </w:rPr>
            </w:pPr>
            <w:r>
              <w:rPr>
                <w:rFonts w:hint="eastAsia" w:ascii="宋体" w:hAnsi="宋体" w:eastAsia="宋体" w:cs="宋体"/>
                <w:b/>
                <w:sz w:val="21"/>
                <w:szCs w:val="21"/>
              </w:rPr>
              <w:t>奖、助、贷名称</w:t>
            </w:r>
          </w:p>
        </w:tc>
        <w:tc>
          <w:tcPr>
            <w:tcW w:w="3806" w:type="dxa"/>
            <w:shd w:val="clear" w:color="auto" w:fill="auto"/>
            <w:vAlign w:val="center"/>
          </w:tcPr>
          <w:p w14:paraId="4E1201B0">
            <w:pPr>
              <w:jc w:val="center"/>
              <w:rPr>
                <w:rFonts w:hint="eastAsia" w:ascii="宋体" w:hAnsi="宋体" w:eastAsia="宋体" w:cs="宋体"/>
                <w:b/>
                <w:sz w:val="21"/>
                <w:szCs w:val="21"/>
              </w:rPr>
            </w:pPr>
            <w:r>
              <w:rPr>
                <w:rFonts w:hint="eastAsia" w:ascii="宋体" w:hAnsi="宋体" w:eastAsia="宋体" w:cs="宋体"/>
                <w:b/>
                <w:sz w:val="21"/>
                <w:szCs w:val="21"/>
              </w:rPr>
              <w:t>资助水平</w:t>
            </w:r>
          </w:p>
        </w:tc>
        <w:tc>
          <w:tcPr>
            <w:tcW w:w="1276" w:type="dxa"/>
            <w:shd w:val="clear" w:color="auto" w:fill="auto"/>
            <w:vAlign w:val="center"/>
          </w:tcPr>
          <w:p w14:paraId="6F5AB849">
            <w:pPr>
              <w:jc w:val="center"/>
              <w:rPr>
                <w:rFonts w:hint="eastAsia" w:ascii="宋体" w:hAnsi="宋体" w:eastAsia="宋体" w:cs="宋体"/>
                <w:b/>
                <w:sz w:val="21"/>
                <w:szCs w:val="21"/>
              </w:rPr>
            </w:pPr>
            <w:r>
              <w:rPr>
                <w:rFonts w:hint="eastAsia" w:ascii="宋体" w:hAnsi="宋体" w:eastAsia="宋体" w:cs="宋体"/>
                <w:b/>
                <w:sz w:val="21"/>
                <w:szCs w:val="21"/>
              </w:rPr>
              <w:t>资助对象</w:t>
            </w:r>
          </w:p>
        </w:tc>
        <w:tc>
          <w:tcPr>
            <w:tcW w:w="846" w:type="dxa"/>
            <w:shd w:val="clear" w:color="auto" w:fill="auto"/>
            <w:vAlign w:val="center"/>
          </w:tcPr>
          <w:p w14:paraId="51117636">
            <w:pPr>
              <w:jc w:val="center"/>
              <w:rPr>
                <w:rFonts w:hint="eastAsia" w:ascii="宋体" w:hAnsi="宋体" w:eastAsia="宋体" w:cs="宋体"/>
                <w:b/>
                <w:sz w:val="21"/>
                <w:szCs w:val="21"/>
              </w:rPr>
            </w:pPr>
            <w:r>
              <w:rPr>
                <w:rFonts w:hint="eastAsia" w:ascii="宋体" w:hAnsi="宋体" w:eastAsia="宋体" w:cs="宋体"/>
                <w:b/>
                <w:sz w:val="21"/>
                <w:szCs w:val="21"/>
              </w:rPr>
              <w:t>覆盖</w:t>
            </w:r>
          </w:p>
          <w:p w14:paraId="645EC098">
            <w:pPr>
              <w:jc w:val="center"/>
              <w:rPr>
                <w:rFonts w:hint="eastAsia" w:ascii="宋体" w:hAnsi="宋体" w:eastAsia="宋体" w:cs="宋体"/>
                <w:b/>
                <w:sz w:val="21"/>
                <w:szCs w:val="21"/>
              </w:rPr>
            </w:pPr>
            <w:r>
              <w:rPr>
                <w:rFonts w:hint="eastAsia" w:ascii="宋体" w:hAnsi="宋体" w:eastAsia="宋体" w:cs="宋体"/>
                <w:b/>
                <w:sz w:val="21"/>
                <w:szCs w:val="21"/>
              </w:rPr>
              <w:t>比率</w:t>
            </w:r>
          </w:p>
        </w:tc>
      </w:tr>
      <w:tr w14:paraId="3F7D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32" w:type="dxa"/>
            <w:vAlign w:val="center"/>
          </w:tcPr>
          <w:p w14:paraId="33FF511C">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94" w:type="dxa"/>
            <w:vAlign w:val="center"/>
          </w:tcPr>
          <w:p w14:paraId="02DD8282">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国家奖学金</w:t>
            </w:r>
          </w:p>
        </w:tc>
        <w:tc>
          <w:tcPr>
            <w:tcW w:w="3806" w:type="dxa"/>
            <w:vAlign w:val="center"/>
          </w:tcPr>
          <w:p w14:paraId="77F04045">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20000（元）</w:t>
            </w:r>
          </w:p>
        </w:tc>
        <w:tc>
          <w:tcPr>
            <w:tcW w:w="1276" w:type="dxa"/>
            <w:vAlign w:val="center"/>
          </w:tcPr>
          <w:p w14:paraId="4D0DAC22">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在读研究生</w:t>
            </w:r>
          </w:p>
        </w:tc>
        <w:tc>
          <w:tcPr>
            <w:tcW w:w="846" w:type="dxa"/>
            <w:vAlign w:val="center"/>
          </w:tcPr>
          <w:p w14:paraId="791218F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r>
      <w:tr w14:paraId="2445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32" w:type="dxa"/>
            <w:vAlign w:val="center"/>
          </w:tcPr>
          <w:p w14:paraId="433D9FC2">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94" w:type="dxa"/>
            <w:vAlign w:val="center"/>
          </w:tcPr>
          <w:p w14:paraId="422824D6">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“三助”奖学金</w:t>
            </w:r>
          </w:p>
        </w:tc>
        <w:tc>
          <w:tcPr>
            <w:tcW w:w="3806" w:type="dxa"/>
            <w:vAlign w:val="center"/>
          </w:tcPr>
          <w:p w14:paraId="0B66D8BC">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6000（元）</w:t>
            </w:r>
          </w:p>
        </w:tc>
        <w:tc>
          <w:tcPr>
            <w:tcW w:w="1276" w:type="dxa"/>
            <w:vAlign w:val="center"/>
          </w:tcPr>
          <w:p w14:paraId="3E7B4975">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在读研究生</w:t>
            </w:r>
          </w:p>
        </w:tc>
        <w:tc>
          <w:tcPr>
            <w:tcW w:w="846" w:type="dxa"/>
            <w:vAlign w:val="center"/>
          </w:tcPr>
          <w:p w14:paraId="74CB8B78">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100%</w:t>
            </w:r>
          </w:p>
        </w:tc>
      </w:tr>
      <w:tr w14:paraId="4E82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2" w:type="dxa"/>
            <w:vAlign w:val="center"/>
          </w:tcPr>
          <w:p w14:paraId="3F571AAD">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94" w:type="dxa"/>
            <w:vAlign w:val="center"/>
          </w:tcPr>
          <w:p w14:paraId="5C58B56B">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学业奖学金</w:t>
            </w:r>
          </w:p>
        </w:tc>
        <w:tc>
          <w:tcPr>
            <w:tcW w:w="3806" w:type="dxa"/>
            <w:vAlign w:val="center"/>
          </w:tcPr>
          <w:p w14:paraId="2F01579E">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10000元、8000元、6000元、4000元</w:t>
            </w:r>
          </w:p>
        </w:tc>
        <w:tc>
          <w:tcPr>
            <w:tcW w:w="1276" w:type="dxa"/>
            <w:vAlign w:val="center"/>
          </w:tcPr>
          <w:p w14:paraId="0CF92221">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在读研究生</w:t>
            </w:r>
          </w:p>
        </w:tc>
        <w:tc>
          <w:tcPr>
            <w:tcW w:w="846" w:type="dxa"/>
            <w:vAlign w:val="center"/>
          </w:tcPr>
          <w:p w14:paraId="2B23440D">
            <w:pPr>
              <w:widowControl/>
              <w:spacing w:line="300" w:lineRule="auto"/>
              <w:jc w:val="center"/>
              <w:rPr>
                <w:rFonts w:hint="eastAsia" w:ascii="宋体" w:hAnsi="宋体" w:eastAsia="宋体" w:cs="宋体"/>
                <w:sz w:val="21"/>
                <w:szCs w:val="21"/>
              </w:rPr>
            </w:pPr>
            <w:r>
              <w:rPr>
                <w:rFonts w:hint="eastAsia" w:ascii="宋体" w:hAnsi="宋体" w:eastAsia="宋体" w:cs="宋体"/>
                <w:sz w:val="21"/>
                <w:szCs w:val="21"/>
              </w:rPr>
              <w:t>100%</w:t>
            </w:r>
          </w:p>
        </w:tc>
      </w:tr>
    </w:tbl>
    <w:p w14:paraId="44202996">
      <w:pPr>
        <w:spacing w:line="360" w:lineRule="auto"/>
        <w:ind w:firstLine="560" w:firstLineChars="200"/>
        <w:rPr>
          <w:rFonts w:hint="eastAsia" w:ascii="宋体" w:hAnsi="宋体"/>
          <w:szCs w:val="28"/>
        </w:rPr>
      </w:pPr>
      <w:r>
        <w:rPr>
          <w:rFonts w:hint="eastAsia" w:ascii="宋体" w:hAnsi="宋体"/>
          <w:szCs w:val="28"/>
        </w:rPr>
        <w:t>2022年4人获得学业奖学金一等奖，9人获得学业奖学金二等奖，18人获得学业奖学金三等奖。一、二、三等学业奖学金获奖情况如表4所示。</w:t>
      </w:r>
    </w:p>
    <w:p w14:paraId="67449805">
      <w:pPr>
        <w:jc w:val="center"/>
        <w:rPr>
          <w:rFonts w:hint="eastAsia" w:ascii="宋体" w:hAnsi="宋体" w:eastAsia="宋体" w:cs="宋体"/>
          <w:bCs/>
          <w:sz w:val="21"/>
          <w:szCs w:val="21"/>
        </w:rPr>
      </w:pPr>
      <w:r>
        <w:rPr>
          <w:rFonts w:hint="eastAsia" w:ascii="宋体" w:hAnsi="宋体" w:eastAsia="宋体" w:cs="宋体"/>
          <w:sz w:val="21"/>
          <w:szCs w:val="21"/>
        </w:rPr>
        <w:t xml:space="preserve">表2-3 </w:t>
      </w:r>
      <w:r>
        <w:rPr>
          <w:rFonts w:hint="eastAsia" w:ascii="宋体" w:hAnsi="宋体" w:eastAsia="宋体" w:cs="宋体"/>
          <w:bCs/>
          <w:sz w:val="21"/>
          <w:szCs w:val="21"/>
        </w:rPr>
        <w:t>2022年学业奖学金获奖情况</w:t>
      </w:r>
    </w:p>
    <w:tbl>
      <w:tblPr>
        <w:tblStyle w:val="9"/>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823"/>
        <w:gridCol w:w="3735"/>
      </w:tblGrid>
      <w:tr w14:paraId="4FD3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43D74C86">
            <w:pPr>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823" w:type="dxa"/>
            <w:vAlign w:val="center"/>
          </w:tcPr>
          <w:p w14:paraId="756680F0">
            <w:pPr>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姓名</w:t>
            </w:r>
          </w:p>
        </w:tc>
        <w:tc>
          <w:tcPr>
            <w:tcW w:w="3735" w:type="dxa"/>
            <w:vAlign w:val="center"/>
          </w:tcPr>
          <w:p w14:paraId="3D555A28">
            <w:pPr>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获奖等级</w:t>
            </w:r>
          </w:p>
        </w:tc>
      </w:tr>
      <w:tr w14:paraId="2F8D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503DCD85">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823" w:type="dxa"/>
            <w:tcBorders>
              <w:top w:val="single" w:color="auto" w:sz="4" w:space="0"/>
              <w:left w:val="single" w:color="auto" w:sz="4" w:space="0"/>
              <w:bottom w:val="single" w:color="auto" w:sz="4" w:space="0"/>
              <w:right w:val="single" w:color="auto" w:sz="4" w:space="0"/>
            </w:tcBorders>
            <w:shd w:val="clear" w:color="000000" w:fill="FFFFFF"/>
            <w:vAlign w:val="center"/>
          </w:tcPr>
          <w:p w14:paraId="6323278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史玉玲</w:t>
            </w:r>
          </w:p>
        </w:tc>
        <w:tc>
          <w:tcPr>
            <w:tcW w:w="3735" w:type="dxa"/>
            <w:vAlign w:val="center"/>
          </w:tcPr>
          <w:p w14:paraId="55B96BBB">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一等奖学金</w:t>
            </w:r>
          </w:p>
        </w:tc>
      </w:tr>
      <w:tr w14:paraId="3963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39993F86">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65AE882B">
            <w:pPr>
              <w:jc w:val="center"/>
              <w:rPr>
                <w:rFonts w:hint="eastAsia" w:ascii="宋体" w:hAnsi="宋体" w:eastAsia="宋体" w:cs="宋体"/>
                <w:kern w:val="0"/>
                <w:sz w:val="21"/>
                <w:szCs w:val="21"/>
              </w:rPr>
            </w:pPr>
            <w:r>
              <w:rPr>
                <w:rFonts w:hint="eastAsia" w:ascii="宋体" w:hAnsi="宋体" w:eastAsia="宋体" w:cs="宋体"/>
                <w:kern w:val="0"/>
                <w:sz w:val="21"/>
                <w:szCs w:val="21"/>
              </w:rPr>
              <w:t>杨燕敏</w:t>
            </w:r>
          </w:p>
        </w:tc>
        <w:tc>
          <w:tcPr>
            <w:tcW w:w="3735" w:type="dxa"/>
            <w:vAlign w:val="center"/>
          </w:tcPr>
          <w:p w14:paraId="0E97E214">
            <w:pPr>
              <w:jc w:val="center"/>
              <w:rPr>
                <w:rFonts w:hint="eastAsia" w:ascii="宋体" w:hAnsi="宋体" w:eastAsia="宋体" w:cs="宋体"/>
                <w:kern w:val="0"/>
                <w:sz w:val="21"/>
                <w:szCs w:val="21"/>
              </w:rPr>
            </w:pPr>
            <w:r>
              <w:rPr>
                <w:rFonts w:hint="eastAsia" w:ascii="宋体" w:hAnsi="宋体" w:eastAsia="宋体" w:cs="宋体"/>
                <w:kern w:val="0"/>
                <w:sz w:val="21"/>
                <w:szCs w:val="21"/>
              </w:rPr>
              <w:t>一等奖学金</w:t>
            </w:r>
          </w:p>
        </w:tc>
      </w:tr>
      <w:tr w14:paraId="408D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7F7EFAA8">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3535B0DE">
            <w:pPr>
              <w:jc w:val="center"/>
              <w:rPr>
                <w:rFonts w:hint="eastAsia" w:ascii="宋体" w:hAnsi="宋体" w:eastAsia="宋体" w:cs="宋体"/>
                <w:kern w:val="0"/>
                <w:sz w:val="21"/>
                <w:szCs w:val="21"/>
              </w:rPr>
            </w:pPr>
            <w:r>
              <w:rPr>
                <w:rFonts w:hint="eastAsia" w:ascii="宋体" w:hAnsi="宋体" w:eastAsia="宋体" w:cs="宋体"/>
                <w:kern w:val="0"/>
                <w:sz w:val="21"/>
                <w:szCs w:val="21"/>
              </w:rPr>
              <w:t>王琦琦</w:t>
            </w:r>
          </w:p>
        </w:tc>
        <w:tc>
          <w:tcPr>
            <w:tcW w:w="3735" w:type="dxa"/>
            <w:vAlign w:val="center"/>
          </w:tcPr>
          <w:p w14:paraId="7313C98C">
            <w:pPr>
              <w:jc w:val="center"/>
              <w:rPr>
                <w:rFonts w:hint="eastAsia" w:ascii="宋体" w:hAnsi="宋体" w:eastAsia="宋体" w:cs="宋体"/>
                <w:kern w:val="0"/>
                <w:sz w:val="21"/>
                <w:szCs w:val="21"/>
              </w:rPr>
            </w:pPr>
            <w:r>
              <w:rPr>
                <w:rFonts w:hint="eastAsia" w:ascii="宋体" w:hAnsi="宋体" w:eastAsia="宋体" w:cs="宋体"/>
                <w:kern w:val="0"/>
                <w:sz w:val="21"/>
                <w:szCs w:val="21"/>
              </w:rPr>
              <w:t>一等奖学金</w:t>
            </w:r>
          </w:p>
        </w:tc>
      </w:tr>
      <w:tr w14:paraId="6747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406DF809">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6B09C4FF">
            <w:pPr>
              <w:jc w:val="center"/>
              <w:rPr>
                <w:rFonts w:hint="eastAsia" w:ascii="宋体" w:hAnsi="宋体" w:eastAsia="宋体" w:cs="宋体"/>
                <w:kern w:val="0"/>
                <w:sz w:val="21"/>
                <w:szCs w:val="21"/>
              </w:rPr>
            </w:pPr>
            <w:r>
              <w:rPr>
                <w:rFonts w:hint="eastAsia" w:ascii="宋体" w:hAnsi="宋体" w:eastAsia="宋体" w:cs="宋体"/>
                <w:kern w:val="0"/>
                <w:sz w:val="21"/>
                <w:szCs w:val="21"/>
              </w:rPr>
              <w:t>卢天萌</w:t>
            </w:r>
          </w:p>
        </w:tc>
        <w:tc>
          <w:tcPr>
            <w:tcW w:w="3735" w:type="dxa"/>
            <w:vAlign w:val="center"/>
          </w:tcPr>
          <w:p w14:paraId="7D3F29CD">
            <w:pPr>
              <w:jc w:val="center"/>
              <w:rPr>
                <w:rFonts w:hint="eastAsia" w:ascii="宋体" w:hAnsi="宋体" w:eastAsia="宋体" w:cs="宋体"/>
                <w:kern w:val="0"/>
                <w:sz w:val="21"/>
                <w:szCs w:val="21"/>
              </w:rPr>
            </w:pPr>
            <w:r>
              <w:rPr>
                <w:rFonts w:hint="eastAsia" w:ascii="宋体" w:hAnsi="宋体" w:eastAsia="宋体" w:cs="宋体"/>
                <w:kern w:val="0"/>
                <w:sz w:val="21"/>
                <w:szCs w:val="21"/>
              </w:rPr>
              <w:t>一等奖学金</w:t>
            </w:r>
          </w:p>
        </w:tc>
      </w:tr>
      <w:tr w14:paraId="2209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51BF45B9">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823" w:type="dxa"/>
            <w:tcBorders>
              <w:top w:val="single" w:color="auto" w:sz="4" w:space="0"/>
              <w:left w:val="single" w:color="auto" w:sz="4" w:space="0"/>
              <w:bottom w:val="single" w:color="auto" w:sz="4" w:space="0"/>
              <w:right w:val="single" w:color="auto" w:sz="4" w:space="0"/>
            </w:tcBorders>
            <w:shd w:val="clear" w:color="000000" w:fill="FFFFFF"/>
            <w:vAlign w:val="center"/>
          </w:tcPr>
          <w:p w14:paraId="4C1AD60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何金哲</w:t>
            </w:r>
          </w:p>
        </w:tc>
        <w:tc>
          <w:tcPr>
            <w:tcW w:w="3735" w:type="dxa"/>
            <w:vAlign w:val="center"/>
          </w:tcPr>
          <w:p w14:paraId="186E421C">
            <w:pPr>
              <w:jc w:val="center"/>
              <w:rPr>
                <w:rFonts w:hint="eastAsia" w:ascii="宋体" w:hAnsi="宋体" w:eastAsia="宋体" w:cs="宋体"/>
                <w:kern w:val="0"/>
                <w:sz w:val="21"/>
                <w:szCs w:val="21"/>
              </w:rPr>
            </w:pPr>
            <w:r>
              <w:rPr>
                <w:rFonts w:hint="eastAsia" w:ascii="宋体" w:hAnsi="宋体" w:eastAsia="宋体" w:cs="宋体"/>
                <w:kern w:val="0"/>
                <w:sz w:val="21"/>
                <w:szCs w:val="21"/>
              </w:rPr>
              <w:t>二等奖学金</w:t>
            </w:r>
          </w:p>
        </w:tc>
      </w:tr>
      <w:tr w14:paraId="3278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739592E9">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39F5E297">
            <w:pPr>
              <w:jc w:val="center"/>
              <w:rPr>
                <w:rFonts w:hint="eastAsia" w:ascii="宋体" w:hAnsi="宋体" w:eastAsia="宋体" w:cs="宋体"/>
                <w:kern w:val="0"/>
                <w:sz w:val="21"/>
                <w:szCs w:val="21"/>
              </w:rPr>
            </w:pPr>
            <w:r>
              <w:rPr>
                <w:rFonts w:hint="eastAsia" w:ascii="宋体" w:hAnsi="宋体" w:eastAsia="宋体" w:cs="宋体"/>
                <w:kern w:val="0"/>
                <w:sz w:val="21"/>
                <w:szCs w:val="21"/>
              </w:rPr>
              <w:t>苏姿薇</w:t>
            </w:r>
          </w:p>
        </w:tc>
        <w:tc>
          <w:tcPr>
            <w:tcW w:w="3735" w:type="dxa"/>
            <w:vAlign w:val="center"/>
          </w:tcPr>
          <w:p w14:paraId="5021F0CD">
            <w:pPr>
              <w:jc w:val="center"/>
              <w:rPr>
                <w:rFonts w:hint="eastAsia" w:ascii="宋体" w:hAnsi="宋体" w:eastAsia="宋体" w:cs="宋体"/>
                <w:kern w:val="0"/>
                <w:sz w:val="21"/>
                <w:szCs w:val="21"/>
              </w:rPr>
            </w:pPr>
            <w:r>
              <w:rPr>
                <w:rFonts w:hint="eastAsia" w:ascii="宋体" w:hAnsi="宋体" w:eastAsia="宋体" w:cs="宋体"/>
                <w:kern w:val="0"/>
                <w:sz w:val="21"/>
                <w:szCs w:val="21"/>
              </w:rPr>
              <w:t>二等奖学金</w:t>
            </w:r>
          </w:p>
        </w:tc>
      </w:tr>
      <w:tr w14:paraId="0BD6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0C42F592">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0E33D296">
            <w:pPr>
              <w:jc w:val="center"/>
              <w:rPr>
                <w:rFonts w:hint="eastAsia" w:ascii="宋体" w:hAnsi="宋体" w:eastAsia="宋体" w:cs="宋体"/>
                <w:kern w:val="0"/>
                <w:sz w:val="21"/>
                <w:szCs w:val="21"/>
              </w:rPr>
            </w:pPr>
            <w:r>
              <w:rPr>
                <w:rFonts w:hint="eastAsia" w:ascii="宋体" w:hAnsi="宋体" w:eastAsia="宋体" w:cs="宋体"/>
                <w:kern w:val="0"/>
                <w:sz w:val="21"/>
                <w:szCs w:val="21"/>
              </w:rPr>
              <w:t>史玉娇</w:t>
            </w:r>
          </w:p>
        </w:tc>
        <w:tc>
          <w:tcPr>
            <w:tcW w:w="3735" w:type="dxa"/>
            <w:vAlign w:val="center"/>
          </w:tcPr>
          <w:p w14:paraId="7FD2F9D0">
            <w:pPr>
              <w:jc w:val="center"/>
              <w:rPr>
                <w:rFonts w:hint="eastAsia" w:ascii="宋体" w:hAnsi="宋体" w:eastAsia="宋体" w:cs="宋体"/>
                <w:kern w:val="0"/>
                <w:sz w:val="21"/>
                <w:szCs w:val="21"/>
              </w:rPr>
            </w:pPr>
            <w:r>
              <w:rPr>
                <w:rFonts w:hint="eastAsia" w:ascii="宋体" w:hAnsi="宋体" w:eastAsia="宋体" w:cs="宋体"/>
                <w:kern w:val="0"/>
                <w:sz w:val="21"/>
                <w:szCs w:val="21"/>
              </w:rPr>
              <w:t>二等奖学金</w:t>
            </w:r>
          </w:p>
        </w:tc>
      </w:tr>
      <w:tr w14:paraId="7146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6DD0F59E">
            <w:pPr>
              <w:spacing w:line="360" w:lineRule="auto"/>
              <w:jc w:val="center"/>
              <w:rPr>
                <w:rFonts w:ascii="宋体" w:hAnsi="宋体" w:cs="Times New Roman"/>
                <w:kern w:val="0"/>
                <w:sz w:val="21"/>
                <w:szCs w:val="21"/>
              </w:rPr>
            </w:pPr>
            <w:r>
              <w:rPr>
                <w:rFonts w:hint="eastAsia" w:ascii="宋体" w:hAnsi="宋体" w:cs="Times New Roman"/>
                <w:kern w:val="0"/>
                <w:sz w:val="21"/>
                <w:szCs w:val="21"/>
              </w:rPr>
              <w:t>8</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0F1D80B6">
            <w:pPr>
              <w:jc w:val="center"/>
              <w:rPr>
                <w:rFonts w:ascii="宋体" w:hAnsi="宋体" w:cs="Times New Roman"/>
                <w:kern w:val="0"/>
                <w:sz w:val="21"/>
                <w:szCs w:val="21"/>
              </w:rPr>
            </w:pPr>
            <w:r>
              <w:rPr>
                <w:rFonts w:hint="eastAsia" w:ascii="宋体" w:hAnsi="宋体" w:cs="Times New Roman"/>
                <w:kern w:val="0"/>
                <w:sz w:val="21"/>
                <w:szCs w:val="21"/>
              </w:rPr>
              <w:t>樊晓慧</w:t>
            </w:r>
          </w:p>
        </w:tc>
        <w:tc>
          <w:tcPr>
            <w:tcW w:w="3735" w:type="dxa"/>
            <w:vAlign w:val="center"/>
          </w:tcPr>
          <w:p w14:paraId="5BFEA8E3">
            <w:pPr>
              <w:jc w:val="center"/>
              <w:rPr>
                <w:rFonts w:ascii="宋体" w:hAnsi="宋体" w:cs="Times New Roman"/>
                <w:kern w:val="0"/>
                <w:sz w:val="21"/>
                <w:szCs w:val="21"/>
              </w:rPr>
            </w:pPr>
            <w:r>
              <w:rPr>
                <w:rFonts w:hint="eastAsia" w:ascii="宋体" w:hAnsi="宋体" w:cs="Times New Roman"/>
                <w:kern w:val="0"/>
                <w:sz w:val="21"/>
                <w:szCs w:val="21"/>
              </w:rPr>
              <w:t>二等奖学金</w:t>
            </w:r>
          </w:p>
        </w:tc>
      </w:tr>
      <w:tr w14:paraId="4447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5165CDCF">
            <w:pPr>
              <w:spacing w:line="360" w:lineRule="auto"/>
              <w:jc w:val="center"/>
              <w:rPr>
                <w:rFonts w:ascii="宋体" w:hAnsi="宋体" w:cs="Times New Roman"/>
                <w:kern w:val="0"/>
                <w:sz w:val="21"/>
                <w:szCs w:val="21"/>
              </w:rPr>
            </w:pPr>
            <w:r>
              <w:rPr>
                <w:rFonts w:hint="eastAsia" w:ascii="宋体" w:hAnsi="宋体" w:cs="Times New Roman"/>
                <w:kern w:val="0"/>
                <w:sz w:val="21"/>
                <w:szCs w:val="21"/>
              </w:rPr>
              <w:t>9</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0E1E43C0">
            <w:pPr>
              <w:jc w:val="center"/>
              <w:rPr>
                <w:rFonts w:ascii="宋体" w:hAnsi="宋体" w:cs="Times New Roman"/>
                <w:kern w:val="0"/>
                <w:sz w:val="21"/>
                <w:szCs w:val="21"/>
              </w:rPr>
            </w:pPr>
            <w:r>
              <w:rPr>
                <w:rFonts w:hint="eastAsia" w:ascii="宋体" w:hAnsi="宋体" w:cs="Times New Roman"/>
                <w:kern w:val="0"/>
                <w:sz w:val="21"/>
                <w:szCs w:val="21"/>
              </w:rPr>
              <w:t>贾珊珊</w:t>
            </w:r>
          </w:p>
        </w:tc>
        <w:tc>
          <w:tcPr>
            <w:tcW w:w="3735" w:type="dxa"/>
            <w:vAlign w:val="center"/>
          </w:tcPr>
          <w:p w14:paraId="0C249A0B">
            <w:pPr>
              <w:jc w:val="center"/>
              <w:rPr>
                <w:rFonts w:ascii="宋体" w:hAnsi="宋体" w:cs="Times New Roman"/>
                <w:kern w:val="0"/>
                <w:sz w:val="21"/>
                <w:szCs w:val="21"/>
              </w:rPr>
            </w:pPr>
            <w:r>
              <w:rPr>
                <w:rFonts w:hint="eastAsia" w:ascii="宋体" w:hAnsi="宋体" w:cs="Times New Roman"/>
                <w:kern w:val="0"/>
                <w:sz w:val="21"/>
                <w:szCs w:val="21"/>
              </w:rPr>
              <w:t>二等奖学金</w:t>
            </w:r>
          </w:p>
        </w:tc>
      </w:tr>
      <w:tr w14:paraId="222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7CCE93A4">
            <w:pPr>
              <w:spacing w:line="360" w:lineRule="auto"/>
              <w:jc w:val="center"/>
              <w:rPr>
                <w:rFonts w:ascii="宋体" w:hAnsi="宋体" w:cs="Times New Roman"/>
                <w:kern w:val="0"/>
                <w:sz w:val="21"/>
                <w:szCs w:val="21"/>
              </w:rPr>
            </w:pPr>
            <w:r>
              <w:rPr>
                <w:rFonts w:hint="eastAsia" w:ascii="宋体" w:hAnsi="宋体" w:cs="Times New Roman"/>
                <w:kern w:val="0"/>
                <w:sz w:val="21"/>
                <w:szCs w:val="21"/>
              </w:rPr>
              <w:t>10</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39FBBAC5">
            <w:pPr>
              <w:jc w:val="center"/>
              <w:rPr>
                <w:rFonts w:ascii="宋体" w:hAnsi="宋体" w:cs="Times New Roman"/>
                <w:kern w:val="0"/>
                <w:sz w:val="21"/>
                <w:szCs w:val="21"/>
              </w:rPr>
            </w:pPr>
            <w:r>
              <w:rPr>
                <w:rFonts w:hint="eastAsia" w:ascii="宋体" w:hAnsi="宋体" w:cs="Times New Roman"/>
                <w:kern w:val="0"/>
                <w:sz w:val="21"/>
                <w:szCs w:val="21"/>
              </w:rPr>
              <w:t>高鑫</w:t>
            </w:r>
          </w:p>
        </w:tc>
        <w:tc>
          <w:tcPr>
            <w:tcW w:w="3735" w:type="dxa"/>
            <w:vAlign w:val="center"/>
          </w:tcPr>
          <w:p w14:paraId="194763C6">
            <w:pPr>
              <w:jc w:val="center"/>
              <w:rPr>
                <w:rFonts w:ascii="宋体" w:hAnsi="宋体" w:cs="Times New Roman"/>
                <w:kern w:val="0"/>
                <w:sz w:val="21"/>
                <w:szCs w:val="21"/>
              </w:rPr>
            </w:pPr>
            <w:r>
              <w:rPr>
                <w:rFonts w:hint="eastAsia" w:ascii="宋体" w:hAnsi="宋体" w:cs="Times New Roman"/>
                <w:kern w:val="0"/>
                <w:sz w:val="21"/>
                <w:szCs w:val="21"/>
              </w:rPr>
              <w:t>二等奖学金</w:t>
            </w:r>
          </w:p>
        </w:tc>
      </w:tr>
      <w:tr w14:paraId="038F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369A49D6">
            <w:pPr>
              <w:spacing w:line="360" w:lineRule="auto"/>
              <w:jc w:val="center"/>
              <w:rPr>
                <w:rFonts w:ascii="宋体" w:hAnsi="宋体" w:cs="Times New Roman"/>
                <w:kern w:val="0"/>
                <w:sz w:val="21"/>
                <w:szCs w:val="21"/>
              </w:rPr>
            </w:pPr>
            <w:r>
              <w:rPr>
                <w:rFonts w:hint="eastAsia" w:ascii="宋体" w:hAnsi="宋体" w:cs="Times New Roman"/>
                <w:kern w:val="0"/>
                <w:sz w:val="21"/>
                <w:szCs w:val="21"/>
              </w:rPr>
              <w:t>11</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6F3CCCC4">
            <w:pPr>
              <w:jc w:val="center"/>
              <w:rPr>
                <w:rFonts w:ascii="宋体" w:hAnsi="宋体" w:cs="Times New Roman"/>
                <w:kern w:val="0"/>
                <w:sz w:val="21"/>
                <w:szCs w:val="21"/>
              </w:rPr>
            </w:pPr>
            <w:r>
              <w:rPr>
                <w:rFonts w:hint="eastAsia" w:ascii="宋体" w:hAnsi="宋体" w:cs="Times New Roman"/>
                <w:kern w:val="0"/>
                <w:sz w:val="21"/>
                <w:szCs w:val="21"/>
              </w:rPr>
              <w:t>焦天钰</w:t>
            </w:r>
          </w:p>
        </w:tc>
        <w:tc>
          <w:tcPr>
            <w:tcW w:w="3735" w:type="dxa"/>
            <w:vAlign w:val="center"/>
          </w:tcPr>
          <w:p w14:paraId="4B6BF94E">
            <w:pPr>
              <w:jc w:val="center"/>
              <w:rPr>
                <w:rFonts w:ascii="宋体" w:hAnsi="宋体" w:cs="Times New Roman"/>
                <w:kern w:val="0"/>
                <w:sz w:val="21"/>
                <w:szCs w:val="21"/>
              </w:rPr>
            </w:pPr>
            <w:r>
              <w:rPr>
                <w:rFonts w:hint="eastAsia" w:ascii="宋体" w:hAnsi="宋体" w:cs="Times New Roman"/>
                <w:kern w:val="0"/>
                <w:sz w:val="21"/>
                <w:szCs w:val="21"/>
              </w:rPr>
              <w:t>二等奖学金</w:t>
            </w:r>
          </w:p>
        </w:tc>
      </w:tr>
      <w:tr w14:paraId="475C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1B9F7B96">
            <w:pPr>
              <w:spacing w:line="360" w:lineRule="auto"/>
              <w:jc w:val="center"/>
              <w:rPr>
                <w:rFonts w:ascii="宋体" w:hAnsi="宋体" w:cs="Times New Roman"/>
                <w:kern w:val="0"/>
                <w:sz w:val="21"/>
                <w:szCs w:val="21"/>
              </w:rPr>
            </w:pPr>
            <w:r>
              <w:rPr>
                <w:rFonts w:hint="eastAsia" w:ascii="宋体" w:hAnsi="宋体" w:cs="Times New Roman"/>
                <w:kern w:val="0"/>
                <w:sz w:val="21"/>
                <w:szCs w:val="21"/>
              </w:rPr>
              <w:t>12</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1B66BFC5">
            <w:pPr>
              <w:jc w:val="center"/>
              <w:rPr>
                <w:rFonts w:ascii="宋体" w:hAnsi="宋体" w:cs="Times New Roman"/>
                <w:kern w:val="0"/>
                <w:sz w:val="21"/>
                <w:szCs w:val="21"/>
              </w:rPr>
            </w:pPr>
            <w:r>
              <w:rPr>
                <w:rFonts w:hint="eastAsia" w:ascii="宋体" w:hAnsi="宋体" w:cs="Times New Roman"/>
                <w:kern w:val="0"/>
                <w:sz w:val="21"/>
                <w:szCs w:val="21"/>
              </w:rPr>
              <w:t>段靖玲</w:t>
            </w:r>
          </w:p>
        </w:tc>
        <w:tc>
          <w:tcPr>
            <w:tcW w:w="3735" w:type="dxa"/>
            <w:vAlign w:val="center"/>
          </w:tcPr>
          <w:p w14:paraId="665A5EE9">
            <w:pPr>
              <w:jc w:val="center"/>
              <w:rPr>
                <w:rFonts w:ascii="宋体" w:hAnsi="宋体" w:cs="Times New Roman"/>
                <w:kern w:val="0"/>
                <w:sz w:val="21"/>
                <w:szCs w:val="21"/>
              </w:rPr>
            </w:pPr>
            <w:r>
              <w:rPr>
                <w:rFonts w:hint="eastAsia" w:ascii="宋体" w:hAnsi="宋体" w:cs="Times New Roman"/>
                <w:kern w:val="0"/>
                <w:sz w:val="21"/>
                <w:szCs w:val="21"/>
              </w:rPr>
              <w:t>二等奖学金</w:t>
            </w:r>
          </w:p>
        </w:tc>
      </w:tr>
      <w:tr w14:paraId="2B53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6195F100">
            <w:pPr>
              <w:spacing w:line="360" w:lineRule="auto"/>
              <w:jc w:val="center"/>
              <w:rPr>
                <w:rFonts w:ascii="宋体" w:hAnsi="宋体" w:cs="Times New Roman"/>
                <w:kern w:val="0"/>
                <w:sz w:val="21"/>
                <w:szCs w:val="21"/>
              </w:rPr>
            </w:pPr>
            <w:r>
              <w:rPr>
                <w:rFonts w:hint="eastAsia" w:ascii="宋体" w:hAnsi="宋体" w:cs="Times New Roman"/>
                <w:kern w:val="0"/>
                <w:sz w:val="21"/>
                <w:szCs w:val="21"/>
              </w:rPr>
              <w:t>13</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7F7DB3AC">
            <w:pPr>
              <w:jc w:val="center"/>
              <w:rPr>
                <w:rFonts w:ascii="宋体" w:hAnsi="宋体" w:cs="Times New Roman"/>
                <w:kern w:val="0"/>
                <w:sz w:val="21"/>
                <w:szCs w:val="21"/>
              </w:rPr>
            </w:pPr>
            <w:r>
              <w:rPr>
                <w:rFonts w:hint="eastAsia" w:ascii="宋体" w:hAnsi="宋体" w:cs="Times New Roman"/>
                <w:kern w:val="0"/>
                <w:sz w:val="21"/>
                <w:szCs w:val="21"/>
              </w:rPr>
              <w:t>李程</w:t>
            </w:r>
          </w:p>
        </w:tc>
        <w:tc>
          <w:tcPr>
            <w:tcW w:w="3735" w:type="dxa"/>
            <w:vAlign w:val="center"/>
          </w:tcPr>
          <w:p w14:paraId="71505A90">
            <w:pPr>
              <w:jc w:val="center"/>
              <w:rPr>
                <w:rFonts w:ascii="宋体" w:hAnsi="宋体" w:cs="Times New Roman"/>
                <w:kern w:val="0"/>
                <w:sz w:val="21"/>
                <w:szCs w:val="21"/>
              </w:rPr>
            </w:pPr>
            <w:r>
              <w:rPr>
                <w:rFonts w:hint="eastAsia" w:ascii="宋体" w:hAnsi="宋体" w:cs="Times New Roman"/>
                <w:kern w:val="0"/>
                <w:sz w:val="21"/>
                <w:szCs w:val="21"/>
              </w:rPr>
              <w:t>二等奖学金</w:t>
            </w:r>
          </w:p>
        </w:tc>
      </w:tr>
      <w:tr w14:paraId="0E46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2FD8288A">
            <w:pPr>
              <w:spacing w:line="360" w:lineRule="auto"/>
              <w:jc w:val="center"/>
              <w:rPr>
                <w:rFonts w:ascii="宋体" w:hAnsi="宋体" w:cs="Times New Roman"/>
                <w:kern w:val="0"/>
                <w:sz w:val="21"/>
                <w:szCs w:val="21"/>
              </w:rPr>
            </w:pPr>
            <w:r>
              <w:rPr>
                <w:rFonts w:hint="eastAsia" w:ascii="宋体" w:hAnsi="宋体" w:cs="Times New Roman"/>
                <w:kern w:val="0"/>
                <w:sz w:val="21"/>
                <w:szCs w:val="21"/>
              </w:rPr>
              <w:t>14</w:t>
            </w:r>
          </w:p>
        </w:tc>
        <w:tc>
          <w:tcPr>
            <w:tcW w:w="2823" w:type="dxa"/>
            <w:tcBorders>
              <w:top w:val="single" w:color="auto" w:sz="4" w:space="0"/>
              <w:left w:val="single" w:color="auto" w:sz="4" w:space="0"/>
              <w:bottom w:val="single" w:color="auto" w:sz="4" w:space="0"/>
              <w:right w:val="single" w:color="auto" w:sz="4" w:space="0"/>
            </w:tcBorders>
            <w:shd w:val="clear" w:color="000000" w:fill="FFFFFF"/>
            <w:vAlign w:val="center"/>
          </w:tcPr>
          <w:p w14:paraId="448E83B6">
            <w:pPr>
              <w:widowControl/>
              <w:jc w:val="center"/>
              <w:rPr>
                <w:rFonts w:ascii="宋体" w:hAnsi="宋体" w:cs="Times New Roman"/>
                <w:kern w:val="0"/>
                <w:sz w:val="21"/>
                <w:szCs w:val="21"/>
              </w:rPr>
            </w:pPr>
            <w:r>
              <w:rPr>
                <w:rFonts w:hint="eastAsia" w:ascii="宋体" w:hAnsi="宋体" w:cs="Times New Roman"/>
                <w:kern w:val="0"/>
                <w:sz w:val="21"/>
                <w:szCs w:val="21"/>
              </w:rPr>
              <w:t>贺佳</w:t>
            </w:r>
          </w:p>
        </w:tc>
        <w:tc>
          <w:tcPr>
            <w:tcW w:w="3735" w:type="dxa"/>
            <w:vAlign w:val="center"/>
          </w:tcPr>
          <w:p w14:paraId="4A3AC242">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1767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390B8ADA">
            <w:pPr>
              <w:spacing w:line="360" w:lineRule="auto"/>
              <w:jc w:val="center"/>
              <w:rPr>
                <w:rFonts w:ascii="宋体" w:hAnsi="宋体" w:cs="Times New Roman"/>
                <w:kern w:val="0"/>
                <w:sz w:val="21"/>
                <w:szCs w:val="21"/>
              </w:rPr>
            </w:pPr>
            <w:r>
              <w:rPr>
                <w:rFonts w:hint="eastAsia" w:ascii="宋体" w:hAnsi="宋体" w:cs="Times New Roman"/>
                <w:kern w:val="0"/>
                <w:sz w:val="21"/>
                <w:szCs w:val="21"/>
              </w:rPr>
              <w:t>15</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371F2970">
            <w:pPr>
              <w:jc w:val="center"/>
              <w:rPr>
                <w:rFonts w:ascii="宋体" w:hAnsi="宋体" w:cs="Times New Roman"/>
                <w:kern w:val="0"/>
                <w:sz w:val="21"/>
                <w:szCs w:val="21"/>
              </w:rPr>
            </w:pPr>
            <w:r>
              <w:rPr>
                <w:rFonts w:hint="eastAsia" w:ascii="宋体" w:hAnsi="宋体" w:cs="Times New Roman"/>
                <w:kern w:val="0"/>
                <w:sz w:val="21"/>
                <w:szCs w:val="21"/>
              </w:rPr>
              <w:t>吴慧娇</w:t>
            </w:r>
          </w:p>
        </w:tc>
        <w:tc>
          <w:tcPr>
            <w:tcW w:w="3735" w:type="dxa"/>
            <w:vAlign w:val="center"/>
          </w:tcPr>
          <w:p w14:paraId="0579577A">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1050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247453F9">
            <w:pPr>
              <w:spacing w:line="360" w:lineRule="auto"/>
              <w:jc w:val="center"/>
              <w:rPr>
                <w:rFonts w:ascii="宋体" w:hAnsi="宋体" w:cs="Times New Roman"/>
                <w:kern w:val="0"/>
                <w:sz w:val="21"/>
                <w:szCs w:val="21"/>
              </w:rPr>
            </w:pPr>
            <w:r>
              <w:rPr>
                <w:rFonts w:hint="eastAsia" w:ascii="宋体" w:hAnsi="宋体" w:cs="Times New Roman"/>
                <w:kern w:val="0"/>
                <w:sz w:val="21"/>
                <w:szCs w:val="21"/>
              </w:rPr>
              <w:t>16</w:t>
            </w:r>
          </w:p>
        </w:tc>
        <w:tc>
          <w:tcPr>
            <w:tcW w:w="2823" w:type="dxa"/>
            <w:tcBorders>
              <w:top w:val="single" w:color="auto" w:sz="4" w:space="0"/>
              <w:left w:val="single" w:color="auto" w:sz="4" w:space="0"/>
              <w:bottom w:val="single" w:color="auto" w:sz="4" w:space="0"/>
              <w:right w:val="single" w:color="auto" w:sz="4" w:space="0"/>
            </w:tcBorders>
            <w:shd w:val="clear" w:color="000000" w:fill="FFFFFF"/>
            <w:vAlign w:val="center"/>
          </w:tcPr>
          <w:p w14:paraId="4E322BB5">
            <w:pPr>
              <w:jc w:val="center"/>
              <w:rPr>
                <w:rFonts w:ascii="宋体" w:hAnsi="宋体" w:cs="Times New Roman"/>
                <w:kern w:val="0"/>
                <w:sz w:val="21"/>
                <w:szCs w:val="21"/>
              </w:rPr>
            </w:pPr>
            <w:r>
              <w:rPr>
                <w:rFonts w:hint="eastAsia" w:ascii="宋体" w:hAnsi="宋体" w:cs="Times New Roman"/>
                <w:kern w:val="0"/>
                <w:sz w:val="21"/>
                <w:szCs w:val="21"/>
              </w:rPr>
              <w:t>孟思妤</w:t>
            </w:r>
          </w:p>
        </w:tc>
        <w:tc>
          <w:tcPr>
            <w:tcW w:w="3735" w:type="dxa"/>
            <w:vAlign w:val="center"/>
          </w:tcPr>
          <w:p w14:paraId="0F9B57F8">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5950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131F7728">
            <w:pPr>
              <w:spacing w:line="360" w:lineRule="auto"/>
              <w:jc w:val="center"/>
              <w:rPr>
                <w:rFonts w:ascii="宋体" w:hAnsi="宋体" w:cs="Times New Roman"/>
                <w:kern w:val="0"/>
                <w:sz w:val="21"/>
                <w:szCs w:val="21"/>
              </w:rPr>
            </w:pPr>
            <w:r>
              <w:rPr>
                <w:rFonts w:hint="eastAsia" w:ascii="宋体" w:hAnsi="宋体" w:cs="Times New Roman"/>
                <w:kern w:val="0"/>
                <w:sz w:val="21"/>
                <w:szCs w:val="21"/>
              </w:rPr>
              <w:t>17</w:t>
            </w:r>
          </w:p>
        </w:tc>
        <w:tc>
          <w:tcPr>
            <w:tcW w:w="2823" w:type="dxa"/>
            <w:tcBorders>
              <w:top w:val="single" w:color="auto" w:sz="4" w:space="0"/>
              <w:left w:val="single" w:color="auto" w:sz="4" w:space="0"/>
              <w:bottom w:val="single" w:color="auto" w:sz="4" w:space="0"/>
              <w:right w:val="single" w:color="auto" w:sz="4" w:space="0"/>
            </w:tcBorders>
            <w:shd w:val="clear" w:color="000000" w:fill="FFFFFF"/>
            <w:vAlign w:val="center"/>
          </w:tcPr>
          <w:p w14:paraId="1AF357AD">
            <w:pPr>
              <w:jc w:val="center"/>
              <w:rPr>
                <w:rFonts w:ascii="宋体" w:hAnsi="宋体" w:cs="Times New Roman"/>
                <w:kern w:val="0"/>
                <w:sz w:val="21"/>
                <w:szCs w:val="21"/>
              </w:rPr>
            </w:pPr>
            <w:r>
              <w:rPr>
                <w:rFonts w:hint="eastAsia" w:ascii="宋体" w:hAnsi="宋体" w:cs="Times New Roman"/>
                <w:kern w:val="0"/>
                <w:sz w:val="21"/>
                <w:szCs w:val="21"/>
              </w:rPr>
              <w:t>王天</w:t>
            </w:r>
          </w:p>
        </w:tc>
        <w:tc>
          <w:tcPr>
            <w:tcW w:w="3735" w:type="dxa"/>
            <w:vAlign w:val="center"/>
          </w:tcPr>
          <w:p w14:paraId="327625BC">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5740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tcBorders>
              <w:bottom w:val="single" w:color="auto" w:sz="4" w:space="0"/>
            </w:tcBorders>
            <w:vAlign w:val="center"/>
          </w:tcPr>
          <w:p w14:paraId="5E6163A3">
            <w:pPr>
              <w:spacing w:line="360" w:lineRule="auto"/>
              <w:jc w:val="center"/>
              <w:rPr>
                <w:rFonts w:ascii="宋体" w:hAnsi="宋体" w:cs="Times New Roman"/>
                <w:kern w:val="0"/>
                <w:sz w:val="21"/>
                <w:szCs w:val="21"/>
              </w:rPr>
            </w:pPr>
            <w:r>
              <w:rPr>
                <w:rFonts w:hint="eastAsia" w:ascii="宋体" w:hAnsi="宋体" w:cs="Times New Roman"/>
                <w:kern w:val="0"/>
                <w:sz w:val="21"/>
                <w:szCs w:val="21"/>
              </w:rPr>
              <w:t>18</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6D07D311">
            <w:pPr>
              <w:jc w:val="center"/>
              <w:rPr>
                <w:rFonts w:ascii="宋体" w:hAnsi="宋体" w:cs="Times New Roman"/>
                <w:kern w:val="0"/>
                <w:sz w:val="21"/>
                <w:szCs w:val="21"/>
              </w:rPr>
            </w:pPr>
            <w:r>
              <w:rPr>
                <w:rFonts w:hint="eastAsia" w:ascii="宋体" w:hAnsi="宋体" w:cs="Times New Roman"/>
                <w:kern w:val="0"/>
                <w:sz w:val="21"/>
                <w:szCs w:val="21"/>
              </w:rPr>
              <w:t>马秀秀</w:t>
            </w:r>
          </w:p>
        </w:tc>
        <w:tc>
          <w:tcPr>
            <w:tcW w:w="3735" w:type="dxa"/>
            <w:tcBorders>
              <w:bottom w:val="single" w:color="auto" w:sz="4" w:space="0"/>
            </w:tcBorders>
            <w:vAlign w:val="center"/>
          </w:tcPr>
          <w:p w14:paraId="42A3F519">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1DB7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tcBorders>
              <w:top w:val="single" w:color="auto" w:sz="4" w:space="0"/>
              <w:bottom w:val="single" w:color="auto" w:sz="4" w:space="0"/>
            </w:tcBorders>
            <w:vAlign w:val="center"/>
          </w:tcPr>
          <w:p w14:paraId="24AD9A22">
            <w:pPr>
              <w:spacing w:line="360" w:lineRule="auto"/>
              <w:jc w:val="center"/>
              <w:rPr>
                <w:rFonts w:ascii="宋体" w:hAnsi="宋体" w:cs="Times New Roman"/>
                <w:kern w:val="0"/>
                <w:sz w:val="21"/>
                <w:szCs w:val="21"/>
              </w:rPr>
            </w:pPr>
            <w:r>
              <w:rPr>
                <w:rFonts w:hint="eastAsia" w:ascii="宋体" w:hAnsi="宋体" w:cs="Times New Roman"/>
                <w:kern w:val="0"/>
                <w:sz w:val="21"/>
                <w:szCs w:val="21"/>
              </w:rPr>
              <w:t>19</w:t>
            </w:r>
          </w:p>
        </w:tc>
        <w:tc>
          <w:tcPr>
            <w:tcW w:w="2823" w:type="dxa"/>
            <w:tcBorders>
              <w:top w:val="single" w:color="auto" w:sz="4" w:space="0"/>
              <w:left w:val="single" w:color="auto" w:sz="4" w:space="0"/>
              <w:bottom w:val="single" w:color="auto" w:sz="4" w:space="0"/>
              <w:right w:val="single" w:color="auto" w:sz="4" w:space="0"/>
            </w:tcBorders>
            <w:shd w:val="clear" w:color="000000" w:fill="FFFFFF"/>
            <w:vAlign w:val="center"/>
          </w:tcPr>
          <w:p w14:paraId="44542277">
            <w:pPr>
              <w:jc w:val="center"/>
              <w:rPr>
                <w:rFonts w:ascii="宋体" w:hAnsi="宋体" w:cs="Times New Roman"/>
                <w:kern w:val="0"/>
                <w:sz w:val="21"/>
                <w:szCs w:val="21"/>
              </w:rPr>
            </w:pPr>
            <w:r>
              <w:rPr>
                <w:rFonts w:hint="eastAsia" w:ascii="宋体" w:hAnsi="宋体" w:cs="Times New Roman"/>
                <w:kern w:val="0"/>
                <w:sz w:val="21"/>
                <w:szCs w:val="21"/>
              </w:rPr>
              <w:t>赵茜雅</w:t>
            </w:r>
          </w:p>
        </w:tc>
        <w:tc>
          <w:tcPr>
            <w:tcW w:w="3735" w:type="dxa"/>
            <w:tcBorders>
              <w:top w:val="single" w:color="auto" w:sz="4" w:space="0"/>
              <w:bottom w:val="single" w:color="auto" w:sz="4" w:space="0"/>
            </w:tcBorders>
            <w:vAlign w:val="center"/>
          </w:tcPr>
          <w:p w14:paraId="6507DFCC">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732F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tcBorders>
              <w:top w:val="single" w:color="auto" w:sz="4" w:space="0"/>
            </w:tcBorders>
            <w:vAlign w:val="center"/>
          </w:tcPr>
          <w:p w14:paraId="53F97372">
            <w:pPr>
              <w:spacing w:line="360" w:lineRule="auto"/>
              <w:jc w:val="center"/>
              <w:rPr>
                <w:rFonts w:ascii="宋体" w:hAnsi="宋体" w:cs="Times New Roman"/>
                <w:kern w:val="0"/>
                <w:sz w:val="21"/>
                <w:szCs w:val="21"/>
              </w:rPr>
            </w:pPr>
            <w:r>
              <w:rPr>
                <w:rFonts w:hint="eastAsia" w:ascii="宋体" w:hAnsi="宋体" w:cs="Times New Roman"/>
                <w:kern w:val="0"/>
                <w:sz w:val="21"/>
                <w:szCs w:val="21"/>
              </w:rPr>
              <w:t>20</w:t>
            </w:r>
          </w:p>
        </w:tc>
        <w:tc>
          <w:tcPr>
            <w:tcW w:w="2823" w:type="dxa"/>
            <w:tcBorders>
              <w:top w:val="single" w:color="auto" w:sz="4" w:space="0"/>
              <w:left w:val="single" w:color="auto" w:sz="4" w:space="0"/>
              <w:bottom w:val="single" w:color="auto" w:sz="4" w:space="0"/>
              <w:right w:val="single" w:color="auto" w:sz="4" w:space="0"/>
            </w:tcBorders>
            <w:shd w:val="clear" w:color="000000" w:fill="FFFFFF"/>
            <w:vAlign w:val="center"/>
          </w:tcPr>
          <w:p w14:paraId="13F63A56">
            <w:pPr>
              <w:jc w:val="center"/>
              <w:rPr>
                <w:rFonts w:ascii="宋体" w:hAnsi="宋体" w:cs="Times New Roman"/>
                <w:kern w:val="0"/>
                <w:sz w:val="21"/>
                <w:szCs w:val="21"/>
              </w:rPr>
            </w:pPr>
            <w:r>
              <w:rPr>
                <w:rFonts w:hint="eastAsia" w:ascii="宋体" w:hAnsi="宋体" w:cs="Times New Roman"/>
                <w:kern w:val="0"/>
                <w:sz w:val="21"/>
                <w:szCs w:val="21"/>
              </w:rPr>
              <w:t>甄溪</w:t>
            </w:r>
          </w:p>
        </w:tc>
        <w:tc>
          <w:tcPr>
            <w:tcW w:w="3735" w:type="dxa"/>
            <w:tcBorders>
              <w:top w:val="single" w:color="auto" w:sz="4" w:space="0"/>
            </w:tcBorders>
            <w:vAlign w:val="center"/>
          </w:tcPr>
          <w:p w14:paraId="0632D1C5">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1A98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2AA87023">
            <w:pPr>
              <w:spacing w:line="360" w:lineRule="auto"/>
              <w:jc w:val="center"/>
              <w:rPr>
                <w:rFonts w:ascii="宋体" w:hAnsi="宋体" w:cs="Times New Roman"/>
                <w:kern w:val="0"/>
                <w:sz w:val="21"/>
                <w:szCs w:val="21"/>
              </w:rPr>
            </w:pPr>
            <w:r>
              <w:rPr>
                <w:rFonts w:hint="eastAsia" w:ascii="宋体" w:hAnsi="宋体" w:cs="Times New Roman"/>
                <w:kern w:val="0"/>
                <w:sz w:val="21"/>
                <w:szCs w:val="21"/>
              </w:rPr>
              <w:t>21</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159168D5">
            <w:pPr>
              <w:jc w:val="center"/>
              <w:rPr>
                <w:rFonts w:ascii="宋体" w:hAnsi="宋体" w:cs="Times New Roman"/>
                <w:kern w:val="0"/>
                <w:sz w:val="21"/>
                <w:szCs w:val="21"/>
              </w:rPr>
            </w:pPr>
            <w:r>
              <w:rPr>
                <w:rFonts w:hint="eastAsia" w:ascii="宋体" w:hAnsi="宋体" w:cs="Times New Roman"/>
                <w:kern w:val="0"/>
                <w:sz w:val="21"/>
                <w:szCs w:val="21"/>
              </w:rPr>
              <w:t>孙金珂</w:t>
            </w:r>
          </w:p>
        </w:tc>
        <w:tc>
          <w:tcPr>
            <w:tcW w:w="3735" w:type="dxa"/>
            <w:vAlign w:val="center"/>
          </w:tcPr>
          <w:p w14:paraId="298D7F13">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3B74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280FCD92">
            <w:pPr>
              <w:spacing w:line="360" w:lineRule="auto"/>
              <w:jc w:val="center"/>
              <w:rPr>
                <w:rFonts w:ascii="宋体" w:hAnsi="宋体" w:cs="Times New Roman"/>
                <w:kern w:val="0"/>
                <w:sz w:val="21"/>
                <w:szCs w:val="21"/>
              </w:rPr>
            </w:pPr>
            <w:r>
              <w:rPr>
                <w:rFonts w:hint="eastAsia" w:ascii="宋体" w:hAnsi="宋体" w:cs="Times New Roman"/>
                <w:kern w:val="0"/>
                <w:sz w:val="21"/>
                <w:szCs w:val="21"/>
              </w:rPr>
              <w:t>22</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41B1360B">
            <w:pPr>
              <w:jc w:val="center"/>
              <w:rPr>
                <w:rFonts w:ascii="宋体" w:hAnsi="宋体" w:cs="Times New Roman"/>
                <w:kern w:val="0"/>
                <w:sz w:val="21"/>
                <w:szCs w:val="21"/>
              </w:rPr>
            </w:pPr>
            <w:r>
              <w:rPr>
                <w:rFonts w:hint="eastAsia" w:ascii="宋体" w:hAnsi="宋体" w:cs="Times New Roman"/>
                <w:kern w:val="0"/>
                <w:sz w:val="21"/>
                <w:szCs w:val="21"/>
              </w:rPr>
              <w:t>孟雅萱</w:t>
            </w:r>
          </w:p>
        </w:tc>
        <w:tc>
          <w:tcPr>
            <w:tcW w:w="3735" w:type="dxa"/>
            <w:vAlign w:val="center"/>
          </w:tcPr>
          <w:p w14:paraId="7522D3D0">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3CCB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2712280B">
            <w:pPr>
              <w:spacing w:line="360" w:lineRule="auto"/>
              <w:jc w:val="center"/>
              <w:rPr>
                <w:rFonts w:ascii="宋体" w:hAnsi="宋体" w:cs="Times New Roman"/>
                <w:kern w:val="0"/>
                <w:sz w:val="21"/>
                <w:szCs w:val="21"/>
              </w:rPr>
            </w:pPr>
            <w:r>
              <w:rPr>
                <w:rFonts w:hint="eastAsia" w:ascii="宋体" w:hAnsi="宋体" w:cs="Times New Roman"/>
                <w:kern w:val="0"/>
                <w:sz w:val="21"/>
                <w:szCs w:val="21"/>
              </w:rPr>
              <w:t>23</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256DC0C8">
            <w:pPr>
              <w:jc w:val="center"/>
              <w:rPr>
                <w:rFonts w:ascii="宋体" w:hAnsi="宋体" w:cs="Times New Roman"/>
                <w:kern w:val="0"/>
                <w:sz w:val="21"/>
                <w:szCs w:val="21"/>
              </w:rPr>
            </w:pPr>
            <w:r>
              <w:rPr>
                <w:rFonts w:hint="eastAsia" w:ascii="宋体" w:hAnsi="宋体" w:cs="Times New Roman"/>
                <w:kern w:val="0"/>
                <w:sz w:val="21"/>
                <w:szCs w:val="21"/>
              </w:rPr>
              <w:t>郭雅洁</w:t>
            </w:r>
          </w:p>
        </w:tc>
        <w:tc>
          <w:tcPr>
            <w:tcW w:w="3735" w:type="dxa"/>
            <w:vAlign w:val="center"/>
          </w:tcPr>
          <w:p w14:paraId="67E1AE4E">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6354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72B76090">
            <w:pPr>
              <w:spacing w:line="360" w:lineRule="auto"/>
              <w:jc w:val="center"/>
              <w:rPr>
                <w:rFonts w:ascii="宋体" w:hAnsi="宋体" w:cs="Times New Roman"/>
                <w:kern w:val="0"/>
                <w:sz w:val="21"/>
                <w:szCs w:val="21"/>
              </w:rPr>
            </w:pPr>
            <w:r>
              <w:rPr>
                <w:rFonts w:hint="eastAsia" w:ascii="宋体" w:hAnsi="宋体" w:cs="Times New Roman"/>
                <w:kern w:val="0"/>
                <w:sz w:val="21"/>
                <w:szCs w:val="21"/>
              </w:rPr>
              <w:t>24</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337C3810">
            <w:pPr>
              <w:jc w:val="center"/>
              <w:rPr>
                <w:rFonts w:ascii="宋体" w:hAnsi="宋体" w:cs="Times New Roman"/>
                <w:kern w:val="0"/>
                <w:sz w:val="21"/>
                <w:szCs w:val="21"/>
              </w:rPr>
            </w:pPr>
            <w:r>
              <w:rPr>
                <w:rFonts w:hint="eastAsia" w:ascii="宋体" w:hAnsi="宋体" w:cs="Times New Roman"/>
                <w:kern w:val="0"/>
                <w:sz w:val="21"/>
                <w:szCs w:val="21"/>
              </w:rPr>
              <w:t>田皎楠</w:t>
            </w:r>
          </w:p>
        </w:tc>
        <w:tc>
          <w:tcPr>
            <w:tcW w:w="3735" w:type="dxa"/>
            <w:vAlign w:val="center"/>
          </w:tcPr>
          <w:p w14:paraId="7F4A8115">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1AFE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1B8A4598">
            <w:pPr>
              <w:spacing w:line="360" w:lineRule="auto"/>
              <w:jc w:val="center"/>
              <w:rPr>
                <w:rFonts w:ascii="宋体" w:hAnsi="宋体" w:cs="Times New Roman"/>
                <w:kern w:val="0"/>
                <w:sz w:val="21"/>
                <w:szCs w:val="21"/>
              </w:rPr>
            </w:pPr>
            <w:r>
              <w:rPr>
                <w:rFonts w:hint="eastAsia" w:ascii="宋体" w:hAnsi="宋体" w:cs="Times New Roman"/>
                <w:kern w:val="0"/>
                <w:sz w:val="21"/>
                <w:szCs w:val="21"/>
              </w:rPr>
              <w:t>25</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6E93A735">
            <w:pPr>
              <w:widowControl/>
              <w:jc w:val="center"/>
              <w:rPr>
                <w:rFonts w:ascii="宋体" w:hAnsi="宋体" w:cs="Times New Roman"/>
                <w:kern w:val="0"/>
                <w:sz w:val="21"/>
                <w:szCs w:val="21"/>
              </w:rPr>
            </w:pPr>
            <w:r>
              <w:rPr>
                <w:rFonts w:hint="eastAsia" w:ascii="宋体" w:hAnsi="宋体" w:cs="Times New Roman"/>
                <w:kern w:val="0"/>
                <w:sz w:val="21"/>
                <w:szCs w:val="21"/>
              </w:rPr>
              <w:t>施佳丽</w:t>
            </w:r>
          </w:p>
        </w:tc>
        <w:tc>
          <w:tcPr>
            <w:tcW w:w="3735" w:type="dxa"/>
            <w:vAlign w:val="center"/>
          </w:tcPr>
          <w:p w14:paraId="0FC79CC7">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0151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3D18F95C">
            <w:pPr>
              <w:spacing w:line="360" w:lineRule="auto"/>
              <w:jc w:val="center"/>
              <w:rPr>
                <w:rFonts w:ascii="宋体" w:hAnsi="宋体" w:cs="Times New Roman"/>
                <w:kern w:val="0"/>
                <w:sz w:val="21"/>
                <w:szCs w:val="21"/>
              </w:rPr>
            </w:pPr>
            <w:r>
              <w:rPr>
                <w:rFonts w:hint="eastAsia" w:ascii="宋体" w:hAnsi="宋体" w:cs="Times New Roman"/>
                <w:kern w:val="0"/>
                <w:sz w:val="21"/>
                <w:szCs w:val="21"/>
              </w:rPr>
              <w:t>26</w:t>
            </w:r>
          </w:p>
        </w:tc>
        <w:tc>
          <w:tcPr>
            <w:tcW w:w="2823" w:type="dxa"/>
            <w:tcBorders>
              <w:top w:val="single" w:color="auto" w:sz="4" w:space="0"/>
              <w:left w:val="single" w:color="auto" w:sz="4" w:space="0"/>
              <w:bottom w:val="single" w:color="auto" w:sz="4" w:space="0"/>
              <w:right w:val="single" w:color="auto" w:sz="4" w:space="0"/>
            </w:tcBorders>
            <w:shd w:val="clear" w:color="000000" w:fill="FFFFFF"/>
            <w:vAlign w:val="center"/>
          </w:tcPr>
          <w:p w14:paraId="26241572">
            <w:pPr>
              <w:jc w:val="center"/>
              <w:rPr>
                <w:rFonts w:ascii="宋体" w:hAnsi="宋体" w:cs="Times New Roman"/>
                <w:kern w:val="0"/>
                <w:sz w:val="21"/>
                <w:szCs w:val="21"/>
              </w:rPr>
            </w:pPr>
            <w:r>
              <w:rPr>
                <w:rFonts w:hint="eastAsia" w:ascii="宋体" w:hAnsi="宋体" w:cs="Times New Roman"/>
                <w:kern w:val="0"/>
                <w:sz w:val="21"/>
                <w:szCs w:val="21"/>
              </w:rPr>
              <w:t>景佳悦</w:t>
            </w:r>
          </w:p>
        </w:tc>
        <w:tc>
          <w:tcPr>
            <w:tcW w:w="3735" w:type="dxa"/>
            <w:vAlign w:val="center"/>
          </w:tcPr>
          <w:p w14:paraId="5A268492">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1755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0D82C12C">
            <w:pPr>
              <w:spacing w:line="360" w:lineRule="auto"/>
              <w:jc w:val="center"/>
              <w:rPr>
                <w:rFonts w:ascii="宋体" w:hAnsi="宋体" w:cs="Times New Roman"/>
                <w:kern w:val="0"/>
                <w:sz w:val="21"/>
                <w:szCs w:val="21"/>
              </w:rPr>
            </w:pPr>
            <w:r>
              <w:rPr>
                <w:rFonts w:hint="eastAsia" w:ascii="宋体" w:hAnsi="宋体" w:cs="Times New Roman"/>
                <w:kern w:val="0"/>
                <w:sz w:val="21"/>
                <w:szCs w:val="21"/>
              </w:rPr>
              <w:t>27</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2849AD5D">
            <w:pPr>
              <w:jc w:val="center"/>
              <w:rPr>
                <w:rFonts w:ascii="宋体" w:hAnsi="宋体" w:cs="Times New Roman"/>
                <w:kern w:val="0"/>
                <w:sz w:val="21"/>
                <w:szCs w:val="21"/>
              </w:rPr>
            </w:pPr>
            <w:r>
              <w:rPr>
                <w:rFonts w:hint="eastAsia" w:ascii="宋体" w:hAnsi="宋体" w:cs="Times New Roman"/>
                <w:kern w:val="0"/>
                <w:sz w:val="21"/>
                <w:szCs w:val="21"/>
              </w:rPr>
              <w:t>钱博雯</w:t>
            </w:r>
          </w:p>
        </w:tc>
        <w:tc>
          <w:tcPr>
            <w:tcW w:w="3735" w:type="dxa"/>
            <w:vAlign w:val="center"/>
          </w:tcPr>
          <w:p w14:paraId="02BA636D">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6ACB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6F0A2259">
            <w:pPr>
              <w:spacing w:line="360" w:lineRule="auto"/>
              <w:jc w:val="center"/>
              <w:rPr>
                <w:rFonts w:ascii="宋体" w:hAnsi="宋体" w:cs="Times New Roman"/>
                <w:kern w:val="0"/>
                <w:sz w:val="21"/>
                <w:szCs w:val="21"/>
              </w:rPr>
            </w:pPr>
            <w:r>
              <w:rPr>
                <w:rFonts w:hint="eastAsia" w:ascii="宋体" w:hAnsi="宋体" w:cs="Times New Roman"/>
                <w:kern w:val="0"/>
                <w:sz w:val="21"/>
                <w:szCs w:val="21"/>
              </w:rPr>
              <w:t>28</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47127694">
            <w:pPr>
              <w:jc w:val="center"/>
              <w:rPr>
                <w:rFonts w:ascii="宋体" w:hAnsi="宋体" w:cs="Times New Roman"/>
                <w:kern w:val="0"/>
                <w:sz w:val="21"/>
                <w:szCs w:val="21"/>
              </w:rPr>
            </w:pPr>
            <w:r>
              <w:rPr>
                <w:rFonts w:hint="eastAsia" w:ascii="宋体" w:hAnsi="宋体" w:cs="Times New Roman"/>
                <w:kern w:val="0"/>
                <w:sz w:val="21"/>
                <w:szCs w:val="21"/>
              </w:rPr>
              <w:t>李蕊</w:t>
            </w:r>
          </w:p>
        </w:tc>
        <w:tc>
          <w:tcPr>
            <w:tcW w:w="3735" w:type="dxa"/>
            <w:vAlign w:val="center"/>
          </w:tcPr>
          <w:p w14:paraId="4F07763F">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664D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175DF57B">
            <w:pPr>
              <w:spacing w:line="360" w:lineRule="auto"/>
              <w:jc w:val="center"/>
              <w:rPr>
                <w:rFonts w:ascii="宋体" w:hAnsi="宋体" w:cs="Times New Roman"/>
                <w:kern w:val="0"/>
                <w:sz w:val="21"/>
                <w:szCs w:val="21"/>
              </w:rPr>
            </w:pPr>
            <w:r>
              <w:rPr>
                <w:rFonts w:hint="eastAsia" w:ascii="宋体" w:hAnsi="宋体" w:cs="Times New Roman"/>
                <w:kern w:val="0"/>
                <w:sz w:val="21"/>
                <w:szCs w:val="21"/>
              </w:rPr>
              <w:t>29</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307D58EF">
            <w:pPr>
              <w:jc w:val="center"/>
              <w:rPr>
                <w:rFonts w:ascii="宋体" w:hAnsi="宋体" w:cs="Times New Roman"/>
                <w:kern w:val="0"/>
                <w:sz w:val="21"/>
                <w:szCs w:val="21"/>
              </w:rPr>
            </w:pPr>
            <w:r>
              <w:rPr>
                <w:rFonts w:hint="eastAsia" w:ascii="宋体" w:hAnsi="宋体" w:cs="Times New Roman"/>
                <w:kern w:val="0"/>
                <w:sz w:val="21"/>
                <w:szCs w:val="21"/>
              </w:rPr>
              <w:t>刘慧云</w:t>
            </w:r>
          </w:p>
        </w:tc>
        <w:tc>
          <w:tcPr>
            <w:tcW w:w="3735" w:type="dxa"/>
            <w:vAlign w:val="center"/>
          </w:tcPr>
          <w:p w14:paraId="1B539B9F">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453E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60" w:type="dxa"/>
            <w:vAlign w:val="center"/>
          </w:tcPr>
          <w:p w14:paraId="49CB802C">
            <w:pPr>
              <w:spacing w:line="360" w:lineRule="auto"/>
              <w:jc w:val="center"/>
              <w:rPr>
                <w:rFonts w:ascii="宋体" w:hAnsi="宋体" w:cs="Times New Roman"/>
                <w:kern w:val="0"/>
                <w:sz w:val="21"/>
                <w:szCs w:val="21"/>
              </w:rPr>
            </w:pPr>
            <w:r>
              <w:rPr>
                <w:rFonts w:hint="eastAsia" w:ascii="宋体" w:hAnsi="宋体" w:cs="Times New Roman"/>
                <w:kern w:val="0"/>
                <w:sz w:val="21"/>
                <w:szCs w:val="21"/>
              </w:rPr>
              <w:t>30</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1FC08E60">
            <w:pPr>
              <w:jc w:val="center"/>
              <w:rPr>
                <w:rFonts w:ascii="宋体" w:hAnsi="宋体" w:cs="Times New Roman"/>
                <w:kern w:val="0"/>
                <w:sz w:val="21"/>
                <w:szCs w:val="21"/>
              </w:rPr>
            </w:pPr>
            <w:r>
              <w:rPr>
                <w:rFonts w:hint="eastAsia" w:ascii="宋体" w:hAnsi="宋体" w:cs="Times New Roman"/>
                <w:kern w:val="0"/>
                <w:sz w:val="21"/>
                <w:szCs w:val="21"/>
              </w:rPr>
              <w:t>蒋薇薇</w:t>
            </w:r>
          </w:p>
        </w:tc>
        <w:tc>
          <w:tcPr>
            <w:tcW w:w="3735" w:type="dxa"/>
            <w:vAlign w:val="center"/>
          </w:tcPr>
          <w:p w14:paraId="48CF1D71">
            <w:pPr>
              <w:jc w:val="center"/>
              <w:rPr>
                <w:rFonts w:ascii="宋体" w:hAnsi="宋体" w:cs="Times New Roman"/>
                <w:kern w:val="0"/>
                <w:sz w:val="21"/>
                <w:szCs w:val="21"/>
              </w:rPr>
            </w:pPr>
            <w:r>
              <w:rPr>
                <w:rFonts w:hint="eastAsia" w:ascii="宋体" w:hAnsi="宋体" w:cs="Times New Roman"/>
                <w:kern w:val="0"/>
                <w:sz w:val="21"/>
                <w:szCs w:val="21"/>
              </w:rPr>
              <w:t>三等奖学金</w:t>
            </w:r>
          </w:p>
        </w:tc>
      </w:tr>
      <w:tr w14:paraId="5814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60" w:type="dxa"/>
            <w:vAlign w:val="center"/>
          </w:tcPr>
          <w:p w14:paraId="4EDCF528">
            <w:pPr>
              <w:spacing w:line="360" w:lineRule="auto"/>
              <w:jc w:val="center"/>
              <w:rPr>
                <w:rFonts w:ascii="宋体" w:hAnsi="宋体" w:cs="Times New Roman"/>
                <w:kern w:val="0"/>
                <w:sz w:val="21"/>
                <w:szCs w:val="21"/>
              </w:rPr>
            </w:pPr>
            <w:r>
              <w:rPr>
                <w:rFonts w:hint="eastAsia" w:ascii="宋体" w:hAnsi="宋体" w:cs="Times New Roman"/>
                <w:kern w:val="0"/>
                <w:sz w:val="21"/>
                <w:szCs w:val="21"/>
              </w:rPr>
              <w:t>31</w:t>
            </w:r>
          </w:p>
        </w:tc>
        <w:tc>
          <w:tcPr>
            <w:tcW w:w="2823" w:type="dxa"/>
            <w:tcBorders>
              <w:top w:val="nil"/>
              <w:left w:val="single" w:color="auto" w:sz="4" w:space="0"/>
              <w:bottom w:val="single" w:color="auto" w:sz="4" w:space="0"/>
              <w:right w:val="single" w:color="auto" w:sz="4" w:space="0"/>
            </w:tcBorders>
            <w:shd w:val="clear" w:color="000000" w:fill="FFFFFF"/>
            <w:vAlign w:val="center"/>
          </w:tcPr>
          <w:p w14:paraId="37B74630">
            <w:pPr>
              <w:jc w:val="center"/>
              <w:rPr>
                <w:rFonts w:ascii="宋体" w:hAnsi="宋体" w:cs="Times New Roman"/>
                <w:kern w:val="0"/>
                <w:sz w:val="21"/>
                <w:szCs w:val="21"/>
              </w:rPr>
            </w:pPr>
            <w:r>
              <w:rPr>
                <w:rFonts w:hint="eastAsia" w:ascii="宋体" w:hAnsi="宋体" w:cs="Times New Roman"/>
                <w:kern w:val="0"/>
                <w:sz w:val="21"/>
                <w:szCs w:val="21"/>
              </w:rPr>
              <w:t>韩璟</w:t>
            </w:r>
          </w:p>
        </w:tc>
        <w:tc>
          <w:tcPr>
            <w:tcW w:w="3735" w:type="dxa"/>
            <w:vAlign w:val="center"/>
          </w:tcPr>
          <w:p w14:paraId="0E65CAE2">
            <w:pPr>
              <w:jc w:val="center"/>
              <w:rPr>
                <w:rFonts w:ascii="宋体" w:hAnsi="宋体" w:cs="Times New Roman"/>
                <w:kern w:val="0"/>
                <w:sz w:val="21"/>
                <w:szCs w:val="21"/>
              </w:rPr>
            </w:pPr>
            <w:r>
              <w:rPr>
                <w:rFonts w:hint="eastAsia" w:ascii="宋体" w:hAnsi="宋体" w:cs="Times New Roman"/>
                <w:kern w:val="0"/>
                <w:sz w:val="21"/>
                <w:szCs w:val="21"/>
              </w:rPr>
              <w:t>三等奖学金</w:t>
            </w:r>
          </w:p>
        </w:tc>
      </w:tr>
    </w:tbl>
    <w:p w14:paraId="60923F62">
      <w:pPr>
        <w:pStyle w:val="3"/>
      </w:pPr>
      <w:r>
        <w:t>三、人才培养</w:t>
      </w:r>
    </w:p>
    <w:p w14:paraId="70C286A6">
      <w:pPr>
        <w:pStyle w:val="4"/>
      </w:pPr>
      <w:r>
        <w:rPr>
          <w:rFonts w:hint="eastAsia"/>
        </w:rPr>
        <w:t>3</w:t>
      </w:r>
      <w:r>
        <w:t>.1招生选拔</w:t>
      </w:r>
    </w:p>
    <w:p w14:paraId="393907B5">
      <w:pPr>
        <w:spacing w:line="360" w:lineRule="auto"/>
        <w:ind w:firstLine="560" w:firstLineChars="200"/>
        <w:rPr>
          <w:rFonts w:ascii="宋体" w:hAnsi="宋体"/>
          <w:szCs w:val="28"/>
        </w:rPr>
      </w:pPr>
      <w:r>
        <w:rPr>
          <w:rFonts w:hint="eastAsia" w:ascii="宋体" w:hAnsi="宋体"/>
          <w:szCs w:val="28"/>
        </w:rPr>
        <w:t>自学位点获批以来，共完成了1</w:t>
      </w:r>
      <w:r>
        <w:rPr>
          <w:rFonts w:ascii="宋体" w:hAnsi="宋体"/>
          <w:szCs w:val="28"/>
        </w:rPr>
        <w:t>3</w:t>
      </w:r>
      <w:r>
        <w:rPr>
          <w:rFonts w:hint="eastAsia" w:ascii="宋体" w:hAnsi="宋体"/>
          <w:szCs w:val="28"/>
        </w:rPr>
        <w:t>届硕士研究生招生。生源相对集中并具有多样性，除本校生源外，还包括同济大学、天津大学、沈阳建筑大学、北京建筑大学、河北工业大学等高校。截至202</w:t>
      </w:r>
      <w:r>
        <w:rPr>
          <w:rFonts w:ascii="宋体" w:hAnsi="宋体"/>
          <w:szCs w:val="28"/>
        </w:rPr>
        <w:t>2</w:t>
      </w:r>
      <w:r>
        <w:rPr>
          <w:rFonts w:hint="eastAsia" w:ascii="宋体" w:hAnsi="宋体"/>
          <w:szCs w:val="28"/>
        </w:rPr>
        <w:t>年，本学位点在读研究生（20</w:t>
      </w:r>
      <w:r>
        <w:rPr>
          <w:rFonts w:ascii="宋体" w:hAnsi="宋体"/>
          <w:szCs w:val="28"/>
        </w:rPr>
        <w:t>20</w:t>
      </w:r>
      <w:r>
        <w:rPr>
          <w:rFonts w:hint="eastAsia" w:ascii="宋体" w:hAnsi="宋体"/>
          <w:szCs w:val="28"/>
        </w:rPr>
        <w:t>～202</w:t>
      </w:r>
      <w:r>
        <w:rPr>
          <w:rFonts w:ascii="宋体" w:hAnsi="宋体"/>
          <w:szCs w:val="28"/>
        </w:rPr>
        <w:t>2</w:t>
      </w:r>
      <w:r>
        <w:rPr>
          <w:rFonts w:hint="eastAsia" w:ascii="宋体" w:hAnsi="宋体"/>
          <w:szCs w:val="28"/>
        </w:rPr>
        <w:t>级）共有37名。</w:t>
      </w:r>
    </w:p>
    <w:p w14:paraId="072F501D">
      <w:pPr>
        <w:spacing w:line="360" w:lineRule="auto"/>
        <w:ind w:firstLine="560" w:firstLineChars="200"/>
        <w:rPr>
          <w:rFonts w:ascii="宋体" w:hAnsi="宋体"/>
          <w:szCs w:val="28"/>
        </w:rPr>
      </w:pPr>
      <w:r>
        <w:rPr>
          <w:rFonts w:hint="eastAsia" w:ascii="宋体" w:hAnsi="宋体"/>
          <w:szCs w:val="28"/>
        </w:rPr>
        <w:t>202</w:t>
      </w:r>
      <w:r>
        <w:rPr>
          <w:rFonts w:ascii="宋体" w:hAnsi="宋体"/>
          <w:szCs w:val="28"/>
        </w:rPr>
        <w:t>2</w:t>
      </w:r>
      <w:r>
        <w:rPr>
          <w:rFonts w:hint="eastAsia" w:ascii="宋体" w:hAnsi="宋体"/>
          <w:szCs w:val="28"/>
        </w:rPr>
        <w:t>年圆满完成招生计划，本学位点城乡规划学专业共计录取1</w:t>
      </w:r>
      <w:r>
        <w:rPr>
          <w:rFonts w:ascii="宋体" w:hAnsi="宋体"/>
          <w:szCs w:val="28"/>
        </w:rPr>
        <w:t>3</w:t>
      </w:r>
      <w:r>
        <w:rPr>
          <w:rFonts w:hint="eastAsia" w:ascii="宋体" w:hAnsi="宋体"/>
          <w:szCs w:val="28"/>
        </w:rPr>
        <w:t>人（含调剂），招生计划、上线考生数量等信息如表3-</w:t>
      </w:r>
      <w:r>
        <w:rPr>
          <w:rFonts w:ascii="宋体" w:hAnsi="宋体"/>
          <w:szCs w:val="28"/>
        </w:rPr>
        <w:t>1所示</w:t>
      </w:r>
      <w:r>
        <w:rPr>
          <w:rFonts w:hint="eastAsia" w:ascii="宋体" w:hAnsi="宋体"/>
          <w:szCs w:val="28"/>
        </w:rPr>
        <w:t>。为保证生源质量，根据《天津城建大学</w:t>
      </w:r>
      <w:r>
        <w:rPr>
          <w:rFonts w:ascii="宋体" w:hAnsi="宋体"/>
          <w:szCs w:val="28"/>
        </w:rPr>
        <w:t>2022年硕士研究生招生复试录取工作方案》，结合我院实际情况，制定</w:t>
      </w:r>
      <w:r>
        <w:rPr>
          <w:rFonts w:hint="eastAsia" w:ascii="宋体" w:hAnsi="宋体"/>
          <w:szCs w:val="28"/>
        </w:rPr>
        <w:t>复试录取工作</w:t>
      </w:r>
      <w:r>
        <w:rPr>
          <w:rFonts w:ascii="宋体" w:hAnsi="宋体"/>
          <w:szCs w:val="28"/>
        </w:rPr>
        <w:t>实施细则。针对</w:t>
      </w:r>
      <w:r>
        <w:rPr>
          <w:rFonts w:hint="eastAsia" w:ascii="宋体" w:hAnsi="宋体"/>
          <w:szCs w:val="28"/>
        </w:rPr>
        <w:t>一志愿考生：城乡规划学（</w:t>
      </w:r>
      <w:r>
        <w:rPr>
          <w:rFonts w:ascii="宋体" w:hAnsi="宋体"/>
          <w:szCs w:val="28"/>
        </w:rPr>
        <w:t>083300）“01城乡规划”研究方向初试总分数320分及以上，且单科达到国家A类地区复试分数线；其他专业（方向）初试单科和总分数均达到国家A类地区复试分数线。</w:t>
      </w:r>
      <w:r>
        <w:rPr>
          <w:rFonts w:hint="eastAsia" w:ascii="宋体" w:hAnsi="宋体"/>
          <w:szCs w:val="28"/>
        </w:rPr>
        <w:t>针对调剂生源考生：初试单科和总分数均达到国家</w:t>
      </w:r>
      <w:r>
        <w:rPr>
          <w:rFonts w:ascii="宋体" w:hAnsi="宋体"/>
          <w:szCs w:val="28"/>
        </w:rPr>
        <w:t>A类地区复试分数线，且除城乡规划学专业“02区域规划与空间发展战略”研究方向外，其他专业业务课（理论类）科目单科成绩不低于70（150满分），业务课（设计类）科目单科成绩不低于80（150满分）。</w:t>
      </w:r>
    </w:p>
    <w:p w14:paraId="4B55DF2B">
      <w:pPr>
        <w:spacing w:line="360" w:lineRule="auto"/>
        <w:jc w:val="center"/>
        <w:rPr>
          <w:rFonts w:ascii="宋体" w:hAnsi="宋体"/>
          <w:sz w:val="21"/>
          <w:szCs w:val="28"/>
        </w:rPr>
      </w:pPr>
      <w:r>
        <w:rPr>
          <w:rFonts w:ascii="宋体" w:hAnsi="宋体"/>
          <w:sz w:val="21"/>
          <w:szCs w:val="28"/>
        </w:rPr>
        <w:t>表</w:t>
      </w:r>
      <w:r>
        <w:rPr>
          <w:rFonts w:hint="eastAsia" w:ascii="宋体" w:hAnsi="宋体"/>
          <w:sz w:val="21"/>
          <w:szCs w:val="28"/>
        </w:rPr>
        <w:t>3-1</w:t>
      </w:r>
      <w:r>
        <w:rPr>
          <w:rFonts w:ascii="宋体" w:hAnsi="宋体"/>
          <w:sz w:val="21"/>
          <w:szCs w:val="28"/>
        </w:rPr>
        <w:t xml:space="preserve"> 学位点招生情况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691"/>
        <w:gridCol w:w="1087"/>
        <w:gridCol w:w="1087"/>
        <w:gridCol w:w="1086"/>
        <w:gridCol w:w="850"/>
        <w:gridCol w:w="904"/>
      </w:tblGrid>
      <w:tr w14:paraId="5DE2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shd w:val="clear" w:color="auto" w:fill="auto"/>
            <w:vAlign w:val="center"/>
          </w:tcPr>
          <w:p w14:paraId="67A8183F">
            <w:pPr>
              <w:jc w:val="center"/>
              <w:rPr>
                <w:rFonts w:ascii="宋体" w:hAnsi="宋体" w:cs="Times New Roman"/>
                <w:b/>
                <w:kern w:val="0"/>
                <w:sz w:val="21"/>
                <w:szCs w:val="32"/>
              </w:rPr>
            </w:pPr>
            <w:r>
              <w:rPr>
                <w:rFonts w:hint="eastAsia" w:ascii="宋体" w:hAnsi="宋体" w:cs="Times New Roman"/>
                <w:b/>
                <w:kern w:val="0"/>
                <w:sz w:val="21"/>
                <w:szCs w:val="32"/>
              </w:rPr>
              <w:t>专业代码</w:t>
            </w:r>
          </w:p>
        </w:tc>
        <w:tc>
          <w:tcPr>
            <w:tcW w:w="2691" w:type="dxa"/>
            <w:shd w:val="clear" w:color="auto" w:fill="auto"/>
            <w:vAlign w:val="center"/>
          </w:tcPr>
          <w:p w14:paraId="3CF20B45">
            <w:pPr>
              <w:spacing w:line="360" w:lineRule="exact"/>
              <w:jc w:val="center"/>
              <w:rPr>
                <w:rFonts w:ascii="宋体" w:hAnsi="宋体" w:cs="Times New Roman"/>
                <w:b/>
                <w:kern w:val="0"/>
                <w:sz w:val="21"/>
                <w:szCs w:val="32"/>
              </w:rPr>
            </w:pPr>
            <w:r>
              <w:rPr>
                <w:rFonts w:hint="eastAsia" w:ascii="宋体" w:hAnsi="宋体" w:cs="Times New Roman"/>
                <w:b/>
                <w:kern w:val="0"/>
                <w:sz w:val="21"/>
                <w:szCs w:val="32"/>
              </w:rPr>
              <w:t>专业名称</w:t>
            </w:r>
          </w:p>
        </w:tc>
        <w:tc>
          <w:tcPr>
            <w:tcW w:w="1087" w:type="dxa"/>
            <w:shd w:val="clear" w:color="auto" w:fill="auto"/>
            <w:vAlign w:val="center"/>
          </w:tcPr>
          <w:p w14:paraId="6A2548F0">
            <w:pPr>
              <w:jc w:val="center"/>
              <w:rPr>
                <w:rFonts w:ascii="宋体" w:hAnsi="宋体" w:cs="Times New Roman"/>
                <w:b/>
                <w:kern w:val="0"/>
                <w:sz w:val="21"/>
                <w:szCs w:val="32"/>
              </w:rPr>
            </w:pPr>
            <w:r>
              <w:rPr>
                <w:rFonts w:hint="eastAsia" w:ascii="宋体" w:hAnsi="宋体" w:cs="Times New Roman"/>
                <w:b/>
                <w:kern w:val="0"/>
                <w:sz w:val="21"/>
                <w:szCs w:val="32"/>
              </w:rPr>
              <w:t>招生计划</w:t>
            </w:r>
          </w:p>
        </w:tc>
        <w:tc>
          <w:tcPr>
            <w:tcW w:w="1087" w:type="dxa"/>
            <w:shd w:val="clear" w:color="auto" w:fill="auto"/>
            <w:vAlign w:val="center"/>
          </w:tcPr>
          <w:p w14:paraId="0757BDC2">
            <w:pPr>
              <w:jc w:val="center"/>
              <w:rPr>
                <w:rFonts w:ascii="宋体" w:hAnsi="宋体" w:cs="Times New Roman"/>
                <w:b/>
                <w:kern w:val="0"/>
                <w:sz w:val="21"/>
                <w:szCs w:val="32"/>
              </w:rPr>
            </w:pPr>
            <w:r>
              <w:rPr>
                <w:rFonts w:ascii="宋体" w:hAnsi="宋体" w:cs="Times New Roman"/>
                <w:b/>
                <w:kern w:val="0"/>
                <w:sz w:val="21"/>
                <w:szCs w:val="32"/>
              </w:rPr>
              <w:t>上线人数</w:t>
            </w:r>
          </w:p>
        </w:tc>
        <w:tc>
          <w:tcPr>
            <w:tcW w:w="1086" w:type="dxa"/>
            <w:shd w:val="clear" w:color="auto" w:fill="auto"/>
            <w:vAlign w:val="center"/>
          </w:tcPr>
          <w:p w14:paraId="09D34984">
            <w:pPr>
              <w:jc w:val="center"/>
              <w:rPr>
                <w:rFonts w:ascii="宋体" w:hAnsi="宋体" w:cs="Times New Roman"/>
                <w:b/>
                <w:kern w:val="0"/>
                <w:sz w:val="21"/>
                <w:szCs w:val="32"/>
              </w:rPr>
            </w:pPr>
            <w:r>
              <w:rPr>
                <w:rFonts w:ascii="宋体" w:hAnsi="宋体" w:cs="Times New Roman"/>
                <w:b/>
                <w:kern w:val="0"/>
                <w:sz w:val="21"/>
                <w:szCs w:val="32"/>
              </w:rPr>
              <w:t>录取人数</w:t>
            </w:r>
          </w:p>
        </w:tc>
        <w:tc>
          <w:tcPr>
            <w:tcW w:w="850" w:type="dxa"/>
            <w:shd w:val="clear" w:color="auto" w:fill="auto"/>
            <w:vAlign w:val="center"/>
          </w:tcPr>
          <w:p w14:paraId="27B6C506">
            <w:pPr>
              <w:jc w:val="center"/>
              <w:rPr>
                <w:rFonts w:ascii="宋体" w:hAnsi="宋体" w:cs="Times New Roman"/>
                <w:b/>
                <w:kern w:val="0"/>
                <w:sz w:val="21"/>
                <w:szCs w:val="32"/>
              </w:rPr>
            </w:pPr>
            <w:r>
              <w:rPr>
                <w:rFonts w:hint="eastAsia" w:ascii="宋体" w:hAnsi="宋体" w:cs="Times New Roman"/>
                <w:b/>
                <w:kern w:val="0"/>
                <w:sz w:val="21"/>
                <w:szCs w:val="32"/>
              </w:rPr>
              <w:t>学位</w:t>
            </w:r>
          </w:p>
          <w:p w14:paraId="0DEA56E3">
            <w:pPr>
              <w:jc w:val="center"/>
              <w:rPr>
                <w:rFonts w:ascii="宋体" w:hAnsi="宋体" w:cs="Times New Roman"/>
                <w:b/>
                <w:kern w:val="0"/>
                <w:sz w:val="21"/>
                <w:szCs w:val="32"/>
              </w:rPr>
            </w:pPr>
            <w:r>
              <w:rPr>
                <w:rFonts w:hint="eastAsia" w:ascii="宋体" w:hAnsi="宋体" w:cs="Times New Roman"/>
                <w:b/>
                <w:kern w:val="0"/>
                <w:sz w:val="21"/>
                <w:szCs w:val="32"/>
              </w:rPr>
              <w:t>类型</w:t>
            </w:r>
          </w:p>
        </w:tc>
        <w:tc>
          <w:tcPr>
            <w:tcW w:w="904" w:type="dxa"/>
            <w:shd w:val="clear" w:color="auto" w:fill="auto"/>
            <w:vAlign w:val="center"/>
          </w:tcPr>
          <w:p w14:paraId="675FE855">
            <w:pPr>
              <w:spacing w:line="360" w:lineRule="exact"/>
              <w:jc w:val="center"/>
              <w:rPr>
                <w:rFonts w:ascii="宋体" w:hAnsi="宋体" w:cs="Times New Roman"/>
                <w:b/>
                <w:kern w:val="0"/>
                <w:sz w:val="21"/>
                <w:szCs w:val="32"/>
              </w:rPr>
            </w:pPr>
            <w:r>
              <w:rPr>
                <w:rFonts w:hint="eastAsia" w:ascii="宋体" w:hAnsi="宋体" w:cs="Times New Roman"/>
                <w:b/>
                <w:kern w:val="0"/>
                <w:sz w:val="21"/>
                <w:szCs w:val="32"/>
              </w:rPr>
              <w:t>学习</w:t>
            </w:r>
          </w:p>
          <w:p w14:paraId="2B1F2D86">
            <w:pPr>
              <w:spacing w:line="360" w:lineRule="exact"/>
              <w:jc w:val="center"/>
              <w:rPr>
                <w:rFonts w:ascii="宋体" w:hAnsi="宋体" w:cs="Times New Roman"/>
                <w:b/>
                <w:kern w:val="0"/>
                <w:sz w:val="21"/>
                <w:szCs w:val="32"/>
              </w:rPr>
            </w:pPr>
            <w:r>
              <w:rPr>
                <w:rFonts w:hint="eastAsia" w:ascii="宋体" w:hAnsi="宋体" w:cs="Times New Roman"/>
                <w:b/>
                <w:kern w:val="0"/>
                <w:sz w:val="21"/>
                <w:szCs w:val="32"/>
              </w:rPr>
              <w:t>方式</w:t>
            </w:r>
          </w:p>
        </w:tc>
      </w:tr>
      <w:tr w14:paraId="03E1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shd w:val="clear" w:color="auto" w:fill="auto"/>
            <w:vAlign w:val="center"/>
          </w:tcPr>
          <w:p w14:paraId="7222609B">
            <w:pPr>
              <w:jc w:val="center"/>
              <w:rPr>
                <w:rFonts w:ascii="宋体" w:hAnsi="宋体" w:cs="Times New Roman"/>
                <w:kern w:val="0"/>
                <w:sz w:val="21"/>
                <w:szCs w:val="32"/>
              </w:rPr>
            </w:pPr>
            <w:r>
              <w:rPr>
                <w:rFonts w:hint="eastAsia" w:ascii="宋体" w:hAnsi="宋体" w:cs="Times New Roman"/>
                <w:w w:val="90"/>
                <w:kern w:val="0"/>
                <w:sz w:val="21"/>
                <w:szCs w:val="32"/>
              </w:rPr>
              <w:t>083300</w:t>
            </w:r>
          </w:p>
        </w:tc>
        <w:tc>
          <w:tcPr>
            <w:tcW w:w="2691" w:type="dxa"/>
            <w:shd w:val="clear" w:color="auto" w:fill="auto"/>
            <w:vAlign w:val="center"/>
          </w:tcPr>
          <w:p w14:paraId="49BFDBE3">
            <w:pPr>
              <w:jc w:val="center"/>
              <w:rPr>
                <w:rFonts w:ascii="宋体" w:hAnsi="宋体" w:cs="Times New Roman"/>
                <w:w w:val="90"/>
                <w:kern w:val="0"/>
                <w:sz w:val="21"/>
                <w:szCs w:val="20"/>
              </w:rPr>
            </w:pPr>
            <w:r>
              <w:rPr>
                <w:rFonts w:hint="eastAsia" w:ascii="宋体" w:hAnsi="宋体" w:cs="Times New Roman"/>
                <w:w w:val="90"/>
                <w:kern w:val="0"/>
                <w:sz w:val="21"/>
                <w:szCs w:val="32"/>
              </w:rPr>
              <w:t>城乡规划学</w:t>
            </w:r>
            <w:r>
              <w:rPr>
                <w:rFonts w:ascii="宋体" w:hAnsi="宋体" w:cs="Times New Roman"/>
                <w:w w:val="90"/>
                <w:kern w:val="0"/>
                <w:sz w:val="21"/>
                <w:szCs w:val="32"/>
              </w:rPr>
              <w:t>（城乡规划</w:t>
            </w:r>
            <w:r>
              <w:rPr>
                <w:rFonts w:hint="eastAsia" w:ascii="宋体" w:hAnsi="宋体" w:cs="Times New Roman"/>
                <w:w w:val="90"/>
                <w:kern w:val="0"/>
                <w:sz w:val="21"/>
                <w:szCs w:val="32"/>
              </w:rPr>
              <w:t>方向）</w:t>
            </w:r>
          </w:p>
        </w:tc>
        <w:tc>
          <w:tcPr>
            <w:tcW w:w="1087" w:type="dxa"/>
            <w:vAlign w:val="center"/>
          </w:tcPr>
          <w:p w14:paraId="5B6F5CE0">
            <w:pPr>
              <w:jc w:val="center"/>
              <w:rPr>
                <w:rFonts w:ascii="宋体" w:hAnsi="宋体" w:cs="Times New Roman"/>
                <w:kern w:val="0"/>
                <w:sz w:val="21"/>
                <w:szCs w:val="32"/>
              </w:rPr>
            </w:pPr>
            <w:r>
              <w:rPr>
                <w:rFonts w:hint="eastAsia" w:ascii="宋体" w:hAnsi="宋体" w:cs="Times New Roman"/>
                <w:kern w:val="0"/>
                <w:sz w:val="21"/>
                <w:szCs w:val="32"/>
              </w:rPr>
              <w:t>11</w:t>
            </w:r>
          </w:p>
        </w:tc>
        <w:tc>
          <w:tcPr>
            <w:tcW w:w="1087" w:type="dxa"/>
            <w:vMerge w:val="restart"/>
            <w:vAlign w:val="center"/>
          </w:tcPr>
          <w:p w14:paraId="2A94A559">
            <w:pPr>
              <w:jc w:val="center"/>
              <w:rPr>
                <w:rFonts w:ascii="宋体" w:hAnsi="宋体" w:cs="Times New Roman"/>
                <w:kern w:val="0"/>
                <w:sz w:val="21"/>
                <w:szCs w:val="32"/>
              </w:rPr>
            </w:pPr>
            <w:r>
              <w:rPr>
                <w:rFonts w:hint="eastAsia" w:ascii="宋体" w:hAnsi="宋体" w:cs="Times New Roman"/>
                <w:kern w:val="0"/>
                <w:sz w:val="21"/>
                <w:szCs w:val="32"/>
              </w:rPr>
              <w:t>15</w:t>
            </w:r>
          </w:p>
        </w:tc>
        <w:tc>
          <w:tcPr>
            <w:tcW w:w="1086" w:type="dxa"/>
            <w:shd w:val="clear" w:color="auto" w:fill="auto"/>
            <w:vAlign w:val="center"/>
          </w:tcPr>
          <w:p w14:paraId="4987D289">
            <w:pPr>
              <w:jc w:val="center"/>
              <w:rPr>
                <w:rFonts w:ascii="宋体" w:hAnsi="宋体" w:cs="Times New Roman"/>
                <w:kern w:val="0"/>
                <w:sz w:val="21"/>
                <w:szCs w:val="32"/>
              </w:rPr>
            </w:pPr>
            <w:r>
              <w:rPr>
                <w:rFonts w:hint="eastAsia" w:ascii="宋体" w:hAnsi="宋体" w:cs="Times New Roman"/>
                <w:kern w:val="0"/>
                <w:sz w:val="21"/>
                <w:szCs w:val="32"/>
              </w:rPr>
              <w:t>11</w:t>
            </w:r>
          </w:p>
        </w:tc>
        <w:tc>
          <w:tcPr>
            <w:tcW w:w="850" w:type="dxa"/>
            <w:shd w:val="clear" w:color="auto" w:fill="auto"/>
            <w:vAlign w:val="center"/>
          </w:tcPr>
          <w:p w14:paraId="4A6E33F0">
            <w:pPr>
              <w:jc w:val="center"/>
              <w:rPr>
                <w:rFonts w:ascii="宋体" w:hAnsi="宋体" w:cs="Times New Roman"/>
                <w:kern w:val="0"/>
                <w:sz w:val="21"/>
                <w:szCs w:val="32"/>
              </w:rPr>
            </w:pPr>
            <w:r>
              <w:rPr>
                <w:rFonts w:hint="eastAsia" w:ascii="宋体" w:hAnsi="宋体" w:cs="Times New Roman"/>
                <w:kern w:val="0"/>
                <w:sz w:val="21"/>
                <w:szCs w:val="32"/>
              </w:rPr>
              <w:t>学术型</w:t>
            </w:r>
          </w:p>
        </w:tc>
        <w:tc>
          <w:tcPr>
            <w:tcW w:w="904" w:type="dxa"/>
            <w:shd w:val="clear" w:color="auto" w:fill="auto"/>
            <w:vAlign w:val="center"/>
          </w:tcPr>
          <w:p w14:paraId="6AF16A8D">
            <w:pPr>
              <w:jc w:val="center"/>
              <w:rPr>
                <w:rFonts w:ascii="宋体" w:hAnsi="宋体" w:cs="Times New Roman"/>
                <w:kern w:val="0"/>
                <w:sz w:val="21"/>
                <w:szCs w:val="32"/>
              </w:rPr>
            </w:pPr>
            <w:r>
              <w:rPr>
                <w:rFonts w:hint="eastAsia" w:ascii="宋体" w:hAnsi="宋体" w:cs="Times New Roman"/>
                <w:kern w:val="0"/>
                <w:sz w:val="21"/>
                <w:szCs w:val="32"/>
              </w:rPr>
              <w:t>全日制</w:t>
            </w:r>
          </w:p>
        </w:tc>
      </w:tr>
      <w:tr w14:paraId="0A3C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vAlign w:val="center"/>
          </w:tcPr>
          <w:p w14:paraId="3AD0DD04">
            <w:pPr>
              <w:jc w:val="center"/>
              <w:rPr>
                <w:rFonts w:ascii="宋体" w:hAnsi="宋体" w:cs="Times New Roman"/>
                <w:kern w:val="0"/>
                <w:sz w:val="21"/>
                <w:szCs w:val="32"/>
              </w:rPr>
            </w:pPr>
          </w:p>
        </w:tc>
        <w:tc>
          <w:tcPr>
            <w:tcW w:w="2691" w:type="dxa"/>
            <w:shd w:val="clear" w:color="auto" w:fill="auto"/>
            <w:vAlign w:val="center"/>
          </w:tcPr>
          <w:p w14:paraId="202A9C74">
            <w:pPr>
              <w:jc w:val="center"/>
              <w:rPr>
                <w:rFonts w:ascii="宋体" w:hAnsi="宋体" w:cs="Times New Roman"/>
                <w:kern w:val="0"/>
                <w:sz w:val="21"/>
                <w:szCs w:val="32"/>
              </w:rPr>
            </w:pPr>
            <w:r>
              <w:rPr>
                <w:rFonts w:hint="eastAsia" w:ascii="宋体" w:hAnsi="宋体" w:cs="Times New Roman"/>
                <w:w w:val="90"/>
                <w:kern w:val="0"/>
                <w:sz w:val="21"/>
                <w:szCs w:val="32"/>
              </w:rPr>
              <w:t>城乡规划学</w:t>
            </w:r>
            <w:r>
              <w:rPr>
                <w:rFonts w:ascii="宋体" w:hAnsi="宋体" w:cs="Times New Roman"/>
                <w:w w:val="90"/>
                <w:kern w:val="0"/>
                <w:sz w:val="21"/>
                <w:szCs w:val="32"/>
              </w:rPr>
              <w:t>（</w:t>
            </w:r>
            <w:r>
              <w:rPr>
                <w:rFonts w:hint="eastAsia" w:ascii="宋体" w:hAnsi="宋体" w:cs="Times New Roman"/>
                <w:w w:val="90"/>
                <w:kern w:val="0"/>
                <w:sz w:val="21"/>
                <w:szCs w:val="32"/>
              </w:rPr>
              <w:t>区域规划与空间发展战略方向）</w:t>
            </w:r>
          </w:p>
        </w:tc>
        <w:tc>
          <w:tcPr>
            <w:tcW w:w="1087" w:type="dxa"/>
            <w:vAlign w:val="center"/>
          </w:tcPr>
          <w:p w14:paraId="48E4CEB5">
            <w:pPr>
              <w:jc w:val="center"/>
              <w:rPr>
                <w:rFonts w:ascii="宋体" w:hAnsi="宋体" w:cs="Times New Roman"/>
                <w:kern w:val="0"/>
                <w:sz w:val="21"/>
                <w:szCs w:val="32"/>
              </w:rPr>
            </w:pPr>
            <w:r>
              <w:rPr>
                <w:rFonts w:hint="eastAsia" w:ascii="宋体" w:hAnsi="宋体" w:cs="Times New Roman"/>
                <w:kern w:val="0"/>
                <w:sz w:val="21"/>
                <w:szCs w:val="32"/>
              </w:rPr>
              <w:t>2</w:t>
            </w:r>
          </w:p>
        </w:tc>
        <w:tc>
          <w:tcPr>
            <w:tcW w:w="1087" w:type="dxa"/>
            <w:vMerge w:val="continue"/>
            <w:vAlign w:val="center"/>
          </w:tcPr>
          <w:p w14:paraId="0F44BD2D">
            <w:pPr>
              <w:jc w:val="center"/>
              <w:rPr>
                <w:rFonts w:ascii="宋体" w:hAnsi="宋体" w:cs="Times New Roman"/>
                <w:kern w:val="0"/>
                <w:sz w:val="21"/>
                <w:szCs w:val="32"/>
              </w:rPr>
            </w:pPr>
          </w:p>
        </w:tc>
        <w:tc>
          <w:tcPr>
            <w:tcW w:w="1086" w:type="dxa"/>
            <w:shd w:val="clear" w:color="auto" w:fill="auto"/>
            <w:vAlign w:val="center"/>
          </w:tcPr>
          <w:p w14:paraId="031D7BA7">
            <w:pPr>
              <w:jc w:val="center"/>
              <w:rPr>
                <w:rFonts w:ascii="宋体" w:hAnsi="宋体" w:cs="Times New Roman"/>
                <w:kern w:val="0"/>
                <w:sz w:val="21"/>
                <w:szCs w:val="32"/>
              </w:rPr>
            </w:pPr>
            <w:r>
              <w:rPr>
                <w:rFonts w:hint="eastAsia" w:ascii="宋体" w:hAnsi="宋体" w:cs="Times New Roman"/>
                <w:kern w:val="0"/>
                <w:sz w:val="21"/>
                <w:szCs w:val="32"/>
              </w:rPr>
              <w:t>2</w:t>
            </w:r>
          </w:p>
        </w:tc>
        <w:tc>
          <w:tcPr>
            <w:tcW w:w="850" w:type="dxa"/>
            <w:shd w:val="clear" w:color="auto" w:fill="auto"/>
            <w:vAlign w:val="center"/>
          </w:tcPr>
          <w:p w14:paraId="7CA5612E">
            <w:pPr>
              <w:jc w:val="center"/>
              <w:rPr>
                <w:rFonts w:ascii="宋体" w:hAnsi="宋体" w:cs="Times New Roman"/>
                <w:kern w:val="0"/>
                <w:sz w:val="21"/>
                <w:szCs w:val="32"/>
              </w:rPr>
            </w:pPr>
            <w:r>
              <w:rPr>
                <w:rFonts w:hint="eastAsia" w:ascii="宋体" w:hAnsi="宋体" w:cs="Times New Roman"/>
                <w:kern w:val="0"/>
                <w:sz w:val="21"/>
                <w:szCs w:val="32"/>
              </w:rPr>
              <w:t>学术型</w:t>
            </w:r>
          </w:p>
        </w:tc>
        <w:tc>
          <w:tcPr>
            <w:tcW w:w="904" w:type="dxa"/>
            <w:shd w:val="clear" w:color="auto" w:fill="auto"/>
            <w:vAlign w:val="center"/>
          </w:tcPr>
          <w:p w14:paraId="621991F6">
            <w:pPr>
              <w:jc w:val="center"/>
              <w:rPr>
                <w:rFonts w:ascii="宋体" w:hAnsi="宋体" w:cs="Times New Roman"/>
                <w:kern w:val="0"/>
                <w:sz w:val="21"/>
                <w:szCs w:val="32"/>
              </w:rPr>
            </w:pPr>
            <w:r>
              <w:rPr>
                <w:rFonts w:hint="eastAsia" w:ascii="宋体" w:hAnsi="宋体" w:cs="Times New Roman"/>
                <w:kern w:val="0"/>
                <w:sz w:val="21"/>
                <w:szCs w:val="32"/>
              </w:rPr>
              <w:t>全日制</w:t>
            </w:r>
          </w:p>
        </w:tc>
      </w:tr>
      <w:tr w14:paraId="19C7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gridSpan w:val="2"/>
            <w:vAlign w:val="center"/>
          </w:tcPr>
          <w:p w14:paraId="7644A1B9">
            <w:pPr>
              <w:jc w:val="center"/>
              <w:rPr>
                <w:rFonts w:ascii="宋体" w:hAnsi="宋体" w:cs="Times New Roman"/>
                <w:b/>
                <w:kern w:val="0"/>
                <w:sz w:val="21"/>
                <w:szCs w:val="32"/>
              </w:rPr>
            </w:pPr>
            <w:r>
              <w:rPr>
                <w:rFonts w:hint="eastAsia" w:ascii="宋体" w:hAnsi="宋体" w:cs="Times New Roman"/>
                <w:b/>
                <w:kern w:val="0"/>
                <w:sz w:val="21"/>
                <w:szCs w:val="32"/>
              </w:rPr>
              <w:t>合计</w:t>
            </w:r>
          </w:p>
        </w:tc>
        <w:tc>
          <w:tcPr>
            <w:tcW w:w="1087" w:type="dxa"/>
            <w:vAlign w:val="center"/>
          </w:tcPr>
          <w:p w14:paraId="4E110295">
            <w:pPr>
              <w:jc w:val="center"/>
              <w:rPr>
                <w:rFonts w:ascii="宋体" w:hAnsi="宋体" w:cs="Times New Roman"/>
                <w:kern w:val="0"/>
                <w:sz w:val="21"/>
                <w:szCs w:val="32"/>
              </w:rPr>
            </w:pPr>
            <w:r>
              <w:rPr>
                <w:rFonts w:hint="eastAsia" w:ascii="宋体" w:hAnsi="宋体" w:cs="Times New Roman"/>
                <w:kern w:val="0"/>
                <w:sz w:val="21"/>
                <w:szCs w:val="32"/>
              </w:rPr>
              <w:t>13</w:t>
            </w:r>
          </w:p>
        </w:tc>
        <w:tc>
          <w:tcPr>
            <w:tcW w:w="1087" w:type="dxa"/>
          </w:tcPr>
          <w:p w14:paraId="069CB9CE">
            <w:pPr>
              <w:jc w:val="center"/>
              <w:rPr>
                <w:rFonts w:ascii="宋体" w:hAnsi="宋体" w:cs="Times New Roman"/>
                <w:kern w:val="0"/>
                <w:sz w:val="21"/>
                <w:szCs w:val="32"/>
              </w:rPr>
            </w:pPr>
            <w:r>
              <w:rPr>
                <w:rFonts w:ascii="宋体" w:hAnsi="宋体" w:cs="Times New Roman"/>
                <w:kern w:val="0"/>
                <w:sz w:val="21"/>
                <w:szCs w:val="32"/>
              </w:rPr>
              <w:t>15</w:t>
            </w:r>
          </w:p>
        </w:tc>
        <w:tc>
          <w:tcPr>
            <w:tcW w:w="1086" w:type="dxa"/>
            <w:vAlign w:val="center"/>
          </w:tcPr>
          <w:p w14:paraId="74FAB9CB">
            <w:pPr>
              <w:jc w:val="center"/>
              <w:rPr>
                <w:rFonts w:ascii="宋体" w:hAnsi="宋体" w:cs="Times New Roman"/>
                <w:kern w:val="0"/>
                <w:sz w:val="21"/>
                <w:szCs w:val="32"/>
              </w:rPr>
            </w:pPr>
            <w:r>
              <w:rPr>
                <w:rFonts w:hint="eastAsia" w:ascii="宋体" w:hAnsi="宋体" w:cs="Times New Roman"/>
                <w:kern w:val="0"/>
                <w:sz w:val="21"/>
                <w:szCs w:val="32"/>
              </w:rPr>
              <w:t>13</w:t>
            </w:r>
          </w:p>
        </w:tc>
        <w:tc>
          <w:tcPr>
            <w:tcW w:w="1754" w:type="dxa"/>
            <w:gridSpan w:val="2"/>
            <w:vAlign w:val="center"/>
          </w:tcPr>
          <w:p w14:paraId="5C89FBB3">
            <w:pPr>
              <w:jc w:val="center"/>
              <w:rPr>
                <w:rFonts w:ascii="宋体" w:hAnsi="宋体" w:cs="Times New Roman"/>
                <w:b/>
                <w:kern w:val="0"/>
                <w:sz w:val="21"/>
                <w:szCs w:val="32"/>
              </w:rPr>
            </w:pPr>
            <w:r>
              <w:rPr>
                <w:rFonts w:hint="eastAsia" w:ascii="宋体" w:hAnsi="宋体" w:cs="Times New Roman"/>
                <w:b/>
                <w:kern w:val="0"/>
                <w:sz w:val="21"/>
                <w:szCs w:val="32"/>
              </w:rPr>
              <w:t>-</w:t>
            </w:r>
          </w:p>
        </w:tc>
      </w:tr>
    </w:tbl>
    <w:p w14:paraId="6998274F">
      <w:pPr>
        <w:pStyle w:val="4"/>
      </w:pPr>
      <w:r>
        <w:rPr>
          <w:rFonts w:hint="eastAsia"/>
        </w:rPr>
        <w:t>3</w:t>
      </w:r>
      <w:r>
        <w:t>.2思政教育</w:t>
      </w:r>
    </w:p>
    <w:p w14:paraId="066AA657">
      <w:pPr>
        <w:rPr>
          <w:rStyle w:val="16"/>
          <w:rFonts w:ascii="宋体" w:hAnsi="宋体" w:eastAsia="宋体" w:cs="宋体"/>
          <w:b w:val="0"/>
          <w:sz w:val="28"/>
          <w:szCs w:val="28"/>
        </w:rPr>
      </w:pPr>
      <w:bookmarkStart w:id="1" w:name="_Toc28238"/>
      <w:r>
        <w:rPr>
          <w:rStyle w:val="16"/>
          <w:rFonts w:hint="eastAsia" w:ascii="宋体" w:hAnsi="宋体" w:eastAsia="宋体" w:cs="宋体"/>
          <w:sz w:val="28"/>
          <w:szCs w:val="28"/>
        </w:rPr>
        <w:t>（1）教师队伍建设</w:t>
      </w:r>
      <w:bookmarkEnd w:id="1"/>
    </w:p>
    <w:p w14:paraId="5F156922">
      <w:pPr>
        <w:widowControl/>
        <w:spacing w:line="360" w:lineRule="auto"/>
        <w:ind w:firstLine="560" w:firstLineChars="200"/>
        <w:rPr>
          <w:rFonts w:ascii="宋体" w:hAnsi="宋体" w:cs="宋体"/>
        </w:rPr>
      </w:pPr>
      <w:r>
        <w:rPr>
          <w:rFonts w:hint="eastAsia" w:ascii="宋体" w:hAnsi="宋体" w:cs="宋体"/>
        </w:rPr>
        <w:t>本学位点始终坚持以习近平新时代中国特色社会主义思想为指导，全面贯彻落实全国教育大会和全国高校思想政治工作会议精神，贯彻“发展城市科学，培育建设人才”的办学宗旨，积极落实“立德树人”根本任务，深入实施“十大育人”</w:t>
      </w:r>
      <w:r>
        <w:rPr>
          <w:rFonts w:hint="eastAsia" w:ascii="宋体" w:hAnsi="宋体" w:cs="宋体"/>
          <w:lang w:val="en-US" w:eastAsia="zh-CN"/>
        </w:rPr>
        <w:t>体系</w:t>
      </w:r>
      <w:r>
        <w:rPr>
          <w:rFonts w:hint="eastAsia" w:ascii="宋体" w:hAnsi="宋体" w:cs="宋体"/>
        </w:rPr>
        <w:t>综合改革方案。</w:t>
      </w:r>
    </w:p>
    <w:p w14:paraId="2F3ED789">
      <w:pPr>
        <w:widowControl/>
        <w:spacing w:line="360" w:lineRule="auto"/>
        <w:ind w:firstLine="560" w:firstLineChars="200"/>
        <w:rPr>
          <w:rFonts w:ascii="宋体" w:hAnsi="宋体" w:cs="宋体"/>
        </w:rPr>
      </w:pPr>
      <w:r>
        <w:rPr>
          <w:rFonts w:hint="eastAsia" w:ascii="宋体" w:hAnsi="宋体" w:cs="宋体"/>
        </w:rPr>
        <w:t>在思政队伍建设工作中，因</w:t>
      </w:r>
      <w:r>
        <w:rPr>
          <w:rFonts w:hint="eastAsia" w:ascii="宋体" w:hAnsi="宋体" w:cs="宋体"/>
          <w:lang w:val="en-US" w:eastAsia="zh-CN"/>
        </w:rPr>
        <w:t>时</w:t>
      </w:r>
      <w:r>
        <w:rPr>
          <w:rFonts w:hint="eastAsia" w:ascii="宋体" w:hAnsi="宋体" w:cs="宋体"/>
        </w:rPr>
        <w:t>施策，构建“知识传授+能力培养+价值塑造”课程思政育人体系。传承“重德重能、善学善建”校训精神，依据学科特色和学科团队优势，充分挖掘“一带一路”倡议、乡村振兴战略、京津冀协同发展、雄安新区建设、天津社会主义现代化大都市建设等与城乡规划密切相关的课程思政元素，建设本学位点课程思政资源库。成立由学科领军人才、教学名师、创新人才、著名企业家、优秀校友、援疆干部组成的思政育人团队，把专业知识传授、综合能力培养及信念价值塑造紧密融合，与马克思主义学院“结对子”，持续推进思政课程与学科课程思政同向同行，构建“知识传授、能力培养、价值塑造”城建特色的课程思政育人体系。</w:t>
      </w:r>
    </w:p>
    <w:p w14:paraId="1F012B28">
      <w:pPr>
        <w:widowControl/>
        <w:spacing w:line="360" w:lineRule="auto"/>
        <w:ind w:firstLine="560" w:firstLineChars="200"/>
        <w:rPr>
          <w:rFonts w:ascii="宋体" w:hAnsi="宋体" w:cs="宋体"/>
        </w:rPr>
      </w:pPr>
      <w:r>
        <w:rPr>
          <w:rFonts w:ascii="宋体" w:hAnsi="宋体" w:cs="宋体"/>
        </w:rPr>
        <w:t>同时，配备兼职研究生辅导员，专门负责研究生日常管理及思想政治教育，加强研究生思想政治教育的抓手。通过召开学生工作专</w:t>
      </w:r>
      <w:r>
        <w:rPr>
          <w:rFonts w:hint="eastAsia" w:ascii="宋体" w:hAnsi="宋体" w:cs="宋体"/>
        </w:rPr>
        <w:t>题研讨会，开设思想政治教育课题研究等，提升研究生辅导员的综合素质及专业化、职业化水平。</w:t>
      </w:r>
    </w:p>
    <w:p w14:paraId="29EA9FD5">
      <w:pPr>
        <w:rPr>
          <w:rStyle w:val="16"/>
          <w:rFonts w:ascii="宋体" w:hAnsi="宋体" w:eastAsia="宋体" w:cs="宋体"/>
          <w:b w:val="0"/>
          <w:sz w:val="28"/>
          <w:szCs w:val="28"/>
        </w:rPr>
      </w:pPr>
      <w:bookmarkStart w:id="2" w:name="_Toc6101"/>
      <w:r>
        <w:rPr>
          <w:rStyle w:val="16"/>
          <w:rFonts w:hint="eastAsia" w:ascii="宋体" w:hAnsi="宋体" w:eastAsia="宋体" w:cs="宋体"/>
          <w:sz w:val="28"/>
          <w:szCs w:val="28"/>
        </w:rPr>
        <w:t>（2）</w:t>
      </w:r>
      <w:bookmarkEnd w:id="2"/>
      <w:r>
        <w:rPr>
          <w:rStyle w:val="16"/>
          <w:rFonts w:hint="eastAsia" w:ascii="宋体" w:hAnsi="宋体" w:eastAsia="宋体" w:cs="宋体"/>
          <w:sz w:val="28"/>
          <w:szCs w:val="28"/>
        </w:rPr>
        <w:t>课程思政</w:t>
      </w:r>
    </w:p>
    <w:p w14:paraId="2E21FBB2">
      <w:pPr>
        <w:widowControl/>
        <w:spacing w:line="360" w:lineRule="auto"/>
        <w:ind w:firstLine="560" w:firstLineChars="200"/>
        <w:rPr>
          <w:rFonts w:ascii="宋体" w:hAnsi="宋体" w:cs="宋体"/>
        </w:rPr>
      </w:pPr>
      <w:r>
        <w:rPr>
          <w:rFonts w:hint="eastAsia" w:ascii="宋体" w:hAnsi="宋体" w:cs="宋体"/>
        </w:rPr>
        <w:t>精准推进思政教育，在服务新型城镇化和城市现代化进程中贡献学科力量。</w:t>
      </w:r>
      <w:r>
        <w:rPr>
          <w:rFonts w:ascii="宋体" w:hAnsi="宋体" w:cs="宋体"/>
        </w:rPr>
        <w:t>2022年获批校级课程思政示范课项目3项。实现思想政治教育对专业课程教学全面覆盖，使思政教育切实入脑入心。</w:t>
      </w:r>
      <w:r>
        <w:rPr>
          <w:rFonts w:hint="eastAsia" w:ascii="宋体" w:hAnsi="宋体" w:cs="宋体"/>
        </w:rPr>
        <w:t>思政教学因时而进，打造“知行耦合”嵌入式的课内外协同实践育人模式。课内讲授城乡规划专业理论知识，课外组织学生对天津市300余处红色历史遗址进行调研与测绘，参加天津意奥风情区、五大道等天津市历史风貌建筑保护、海河综合开发“子牙渔湾”区域规划和设计工作等，通过情景体验式教学，使学生更加深刻地理解天津近代历史发展过程，深入了解党领导天津人民的艰苦奋斗的革命事迹，激励师生把爱国之情、报国之志融入祖国改革发展伟大事业中和天津市特色学科群、重点学科的建设之中。</w:t>
      </w:r>
    </w:p>
    <w:p w14:paraId="6415D26A">
      <w:pPr>
        <w:pStyle w:val="4"/>
      </w:pPr>
      <w:r>
        <w:rPr>
          <w:rFonts w:hint="eastAsia"/>
        </w:rPr>
        <w:t>3</w:t>
      </w:r>
      <w:r>
        <w:t>.3课程教学</w:t>
      </w:r>
    </w:p>
    <w:p w14:paraId="5C943F5D">
      <w:pPr>
        <w:spacing w:line="360" w:lineRule="auto"/>
        <w:ind w:firstLine="560" w:firstLineChars="200"/>
        <w:rPr>
          <w:rFonts w:ascii="宋体" w:hAnsi="宋体"/>
          <w:szCs w:val="28"/>
        </w:rPr>
      </w:pPr>
      <w:r>
        <w:rPr>
          <w:rFonts w:ascii="宋体" w:hAnsi="宋体"/>
          <w:szCs w:val="28"/>
        </w:rPr>
        <w:t>城乡规划学硕士研究生课程讲授由教授、副教授以及研究成果突出的具有博士学位的讲师承担</w:t>
      </w:r>
      <w:r>
        <w:rPr>
          <w:rFonts w:hint="eastAsia" w:ascii="宋体" w:hAnsi="宋体"/>
          <w:szCs w:val="28"/>
        </w:rPr>
        <w:t>（表3-</w:t>
      </w:r>
      <w:r>
        <w:rPr>
          <w:rFonts w:ascii="宋体" w:hAnsi="宋体"/>
          <w:szCs w:val="28"/>
        </w:rPr>
        <w:t>2</w:t>
      </w:r>
      <w:r>
        <w:rPr>
          <w:rFonts w:hint="eastAsia" w:ascii="宋体" w:hAnsi="宋体"/>
          <w:szCs w:val="28"/>
        </w:rPr>
        <w:t>）</w:t>
      </w:r>
      <w:r>
        <w:rPr>
          <w:rFonts w:ascii="宋体" w:hAnsi="宋体"/>
          <w:szCs w:val="28"/>
        </w:rPr>
        <w:t>。</w:t>
      </w:r>
      <w:r>
        <w:rPr>
          <w:rFonts w:ascii="宋体" w:hAnsi="宋体" w:cs="Times New Roman"/>
          <w:szCs w:val="28"/>
        </w:rPr>
        <w:t>在</w:t>
      </w:r>
      <w:r>
        <w:rPr>
          <w:rFonts w:hint="eastAsia" w:ascii="宋体" w:hAnsi="宋体" w:cs="Times New Roman"/>
          <w:szCs w:val="28"/>
        </w:rPr>
        <w:t>规划设计（</w:t>
      </w:r>
      <w:r>
        <w:rPr>
          <w:rFonts w:ascii="宋体" w:hAnsi="宋体" w:cs="Times New Roman"/>
          <w:szCs w:val="28"/>
        </w:rPr>
        <w:t>1）、规划设计（2）、城市空间设计、城市空间数字技术应用</w:t>
      </w:r>
      <w:r>
        <w:rPr>
          <w:rFonts w:ascii="宋体" w:hAnsi="宋体"/>
          <w:szCs w:val="28"/>
        </w:rPr>
        <w:t>以及实践教学环节中还邀请校外具有较高学术水平的教师、执业规划师和规划管理人员来学院授课。</w:t>
      </w:r>
    </w:p>
    <w:p w14:paraId="53EC3485">
      <w:pPr>
        <w:spacing w:before="156" w:beforeLines="50" w:line="360" w:lineRule="auto"/>
        <w:jc w:val="center"/>
        <w:rPr>
          <w:rFonts w:ascii="Times New Roman" w:hAnsi="宋体" w:cs="Times New Roman"/>
          <w:bCs/>
          <w:sz w:val="21"/>
          <w:szCs w:val="21"/>
        </w:rPr>
      </w:pPr>
      <w:r>
        <w:rPr>
          <w:rFonts w:ascii="Times New Roman" w:hAnsi="宋体" w:cs="Times New Roman"/>
          <w:bCs/>
          <w:sz w:val="21"/>
          <w:szCs w:val="21"/>
        </w:rPr>
        <w:t>表3</w:t>
      </w:r>
      <w:r>
        <w:rPr>
          <w:rFonts w:hint="eastAsia" w:ascii="Times New Roman" w:hAnsi="宋体" w:cs="Times New Roman"/>
          <w:bCs/>
          <w:sz w:val="21"/>
          <w:szCs w:val="21"/>
        </w:rPr>
        <w:t>-</w:t>
      </w:r>
      <w:r>
        <w:rPr>
          <w:rFonts w:ascii="Times New Roman" w:hAnsi="宋体" w:cs="Times New Roman"/>
          <w:bCs/>
          <w:sz w:val="21"/>
          <w:szCs w:val="21"/>
        </w:rPr>
        <w:t>2 城乡规划学专业基础课程任课教师简况表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3520"/>
        <w:gridCol w:w="810"/>
        <w:gridCol w:w="810"/>
        <w:gridCol w:w="2709"/>
      </w:tblGrid>
      <w:tr w14:paraId="23F7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shd w:val="clear" w:color="auto" w:fill="FFFFFF"/>
            <w:vAlign w:val="center"/>
          </w:tcPr>
          <w:p w14:paraId="7CB9BB90">
            <w:pPr>
              <w:jc w:val="center"/>
              <w:rPr>
                <w:rFonts w:ascii="宋体" w:hAnsi="宋体" w:cs="仿宋_GB2312"/>
                <w:sz w:val="21"/>
                <w:szCs w:val="21"/>
              </w:rPr>
            </w:pPr>
            <w:r>
              <w:rPr>
                <w:rFonts w:hint="eastAsia" w:ascii="宋体" w:hAnsi="宋体" w:cs="仿宋_GB2312"/>
                <w:sz w:val="21"/>
                <w:szCs w:val="21"/>
              </w:rPr>
              <w:t>序</w:t>
            </w:r>
            <w:r>
              <w:rPr>
                <w:rFonts w:ascii="宋体" w:hAnsi="宋体" w:cs="仿宋_GB2312"/>
                <w:sz w:val="21"/>
                <w:szCs w:val="21"/>
              </w:rPr>
              <w:t>号</w:t>
            </w:r>
          </w:p>
        </w:tc>
        <w:tc>
          <w:tcPr>
            <w:tcW w:w="2065" w:type="pct"/>
            <w:shd w:val="clear" w:color="auto" w:fill="FFFFFF"/>
            <w:vAlign w:val="center"/>
          </w:tcPr>
          <w:p w14:paraId="50A42F7A">
            <w:pPr>
              <w:jc w:val="center"/>
              <w:rPr>
                <w:rFonts w:ascii="宋体" w:hAnsi="宋体" w:cs="仿宋_GB2312"/>
                <w:sz w:val="21"/>
                <w:szCs w:val="21"/>
              </w:rPr>
            </w:pPr>
            <w:r>
              <w:rPr>
                <w:rFonts w:ascii="宋体" w:hAnsi="宋体" w:cs="仿宋_GB2312"/>
                <w:sz w:val="21"/>
                <w:szCs w:val="21"/>
              </w:rPr>
              <w:t>课程名称</w:t>
            </w:r>
          </w:p>
        </w:tc>
        <w:tc>
          <w:tcPr>
            <w:tcW w:w="475" w:type="pct"/>
            <w:shd w:val="clear" w:color="auto" w:fill="FFFFFF"/>
            <w:vAlign w:val="center"/>
          </w:tcPr>
          <w:p w14:paraId="749CD3C5">
            <w:pPr>
              <w:jc w:val="center"/>
              <w:rPr>
                <w:rFonts w:ascii="宋体" w:hAnsi="宋体" w:cs="仿宋_GB2312"/>
                <w:sz w:val="21"/>
                <w:szCs w:val="21"/>
              </w:rPr>
            </w:pPr>
            <w:r>
              <w:rPr>
                <w:rFonts w:ascii="宋体" w:hAnsi="宋体" w:cs="仿宋_GB2312"/>
                <w:sz w:val="21"/>
                <w:szCs w:val="21"/>
              </w:rPr>
              <w:t>学时</w:t>
            </w:r>
          </w:p>
        </w:tc>
        <w:tc>
          <w:tcPr>
            <w:tcW w:w="475" w:type="pct"/>
            <w:shd w:val="clear" w:color="auto" w:fill="FFFFFF"/>
            <w:vAlign w:val="center"/>
          </w:tcPr>
          <w:p w14:paraId="526E9DE1">
            <w:pPr>
              <w:jc w:val="center"/>
              <w:rPr>
                <w:rFonts w:ascii="宋体" w:hAnsi="宋体" w:cs="仿宋_GB2312"/>
                <w:sz w:val="21"/>
                <w:szCs w:val="21"/>
              </w:rPr>
            </w:pPr>
            <w:r>
              <w:rPr>
                <w:rFonts w:ascii="宋体" w:hAnsi="宋体" w:cs="仿宋_GB2312"/>
                <w:sz w:val="21"/>
                <w:szCs w:val="21"/>
              </w:rPr>
              <w:t>学分</w:t>
            </w:r>
          </w:p>
        </w:tc>
        <w:tc>
          <w:tcPr>
            <w:tcW w:w="1589" w:type="pct"/>
            <w:shd w:val="clear" w:color="auto" w:fill="FFFFFF"/>
            <w:vAlign w:val="center"/>
          </w:tcPr>
          <w:p w14:paraId="769EDFC6">
            <w:pPr>
              <w:jc w:val="center"/>
              <w:rPr>
                <w:rFonts w:ascii="宋体" w:hAnsi="宋体" w:cs="仿宋_GB2312"/>
                <w:sz w:val="21"/>
                <w:szCs w:val="21"/>
              </w:rPr>
            </w:pPr>
            <w:r>
              <w:rPr>
                <w:rFonts w:ascii="宋体" w:hAnsi="宋体" w:cs="仿宋_GB2312"/>
                <w:sz w:val="21"/>
                <w:szCs w:val="21"/>
              </w:rPr>
              <w:t>任课教师</w:t>
            </w:r>
          </w:p>
        </w:tc>
      </w:tr>
      <w:tr w14:paraId="6427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395" w:type="pct"/>
            <w:vAlign w:val="center"/>
          </w:tcPr>
          <w:p w14:paraId="07F26F41">
            <w:pPr>
              <w:jc w:val="center"/>
              <w:rPr>
                <w:rFonts w:ascii="宋体" w:hAnsi="宋体" w:cs="仿宋_GB2312"/>
                <w:sz w:val="21"/>
                <w:szCs w:val="21"/>
              </w:rPr>
            </w:pPr>
            <w:r>
              <w:rPr>
                <w:rFonts w:hint="eastAsia" w:ascii="宋体" w:hAnsi="宋体" w:cs="仿宋_GB2312"/>
                <w:sz w:val="21"/>
                <w:szCs w:val="21"/>
              </w:rPr>
              <w:t>1</w:t>
            </w:r>
          </w:p>
        </w:tc>
        <w:tc>
          <w:tcPr>
            <w:tcW w:w="2065" w:type="pct"/>
            <w:vAlign w:val="center"/>
          </w:tcPr>
          <w:p w14:paraId="2829BBDF">
            <w:pPr>
              <w:jc w:val="center"/>
              <w:rPr>
                <w:rFonts w:ascii="宋体" w:hAnsi="宋体" w:cs="仿宋_GB2312"/>
                <w:sz w:val="21"/>
                <w:szCs w:val="21"/>
              </w:rPr>
            </w:pPr>
            <w:r>
              <w:rPr>
                <w:rFonts w:hint="eastAsia" w:ascii="宋体" w:hAnsi="宋体" w:cs="仿宋_GB2312"/>
                <w:sz w:val="21"/>
                <w:szCs w:val="21"/>
              </w:rPr>
              <w:t>规划设计（1）</w:t>
            </w:r>
          </w:p>
        </w:tc>
        <w:tc>
          <w:tcPr>
            <w:tcW w:w="475" w:type="pct"/>
            <w:vAlign w:val="center"/>
          </w:tcPr>
          <w:p w14:paraId="7E819A36">
            <w:pPr>
              <w:jc w:val="center"/>
              <w:rPr>
                <w:rFonts w:ascii="宋体" w:hAnsi="宋体" w:cs="仿宋_GB2312"/>
                <w:sz w:val="21"/>
                <w:szCs w:val="21"/>
              </w:rPr>
            </w:pPr>
            <w:r>
              <w:rPr>
                <w:rFonts w:ascii="宋体" w:hAnsi="宋体" w:cs="仿宋_GB2312"/>
                <w:sz w:val="21"/>
                <w:szCs w:val="21"/>
              </w:rPr>
              <w:t>32</w:t>
            </w:r>
          </w:p>
        </w:tc>
        <w:tc>
          <w:tcPr>
            <w:tcW w:w="475" w:type="pct"/>
            <w:vAlign w:val="center"/>
          </w:tcPr>
          <w:p w14:paraId="21D02280">
            <w:pPr>
              <w:jc w:val="center"/>
              <w:rPr>
                <w:rFonts w:ascii="宋体" w:hAnsi="宋体" w:cs="仿宋_GB2312"/>
                <w:sz w:val="21"/>
                <w:szCs w:val="21"/>
              </w:rPr>
            </w:pPr>
            <w:r>
              <w:rPr>
                <w:rFonts w:ascii="宋体" w:hAnsi="宋体" w:cs="仿宋_GB2312"/>
                <w:sz w:val="21"/>
                <w:szCs w:val="21"/>
              </w:rPr>
              <w:t>2.0</w:t>
            </w:r>
          </w:p>
        </w:tc>
        <w:tc>
          <w:tcPr>
            <w:tcW w:w="1589" w:type="pct"/>
            <w:vAlign w:val="center"/>
          </w:tcPr>
          <w:p w14:paraId="61613270">
            <w:pPr>
              <w:jc w:val="center"/>
              <w:rPr>
                <w:rFonts w:ascii="宋体" w:hAnsi="宋体" w:cs="仿宋_GB2312"/>
                <w:sz w:val="21"/>
                <w:szCs w:val="21"/>
              </w:rPr>
            </w:pPr>
            <w:r>
              <w:rPr>
                <w:rFonts w:hint="eastAsia" w:ascii="宋体" w:hAnsi="宋体" w:cs="仿宋_GB2312"/>
                <w:sz w:val="21"/>
                <w:szCs w:val="21"/>
              </w:rPr>
              <w:t>曾穗平</w:t>
            </w:r>
            <w:r>
              <w:rPr>
                <w:rFonts w:ascii="宋体" w:hAnsi="宋体" w:cs="仿宋_GB2312"/>
                <w:sz w:val="21"/>
                <w:szCs w:val="21"/>
              </w:rPr>
              <w:t>（副教授）</w:t>
            </w:r>
          </w:p>
          <w:p w14:paraId="70258111">
            <w:pPr>
              <w:jc w:val="center"/>
              <w:rPr>
                <w:rFonts w:ascii="宋体" w:hAnsi="宋体" w:cs="仿宋_GB2312"/>
                <w:sz w:val="21"/>
                <w:szCs w:val="21"/>
              </w:rPr>
            </w:pPr>
            <w:r>
              <w:rPr>
                <w:rFonts w:hint="eastAsia" w:ascii="宋体" w:hAnsi="宋体" w:cs="仿宋_GB2312"/>
                <w:sz w:val="21"/>
                <w:szCs w:val="21"/>
              </w:rPr>
              <w:t>刘立钧</w:t>
            </w:r>
            <w:r>
              <w:rPr>
                <w:rFonts w:ascii="宋体" w:hAnsi="宋体" w:cs="仿宋_GB2312"/>
                <w:sz w:val="21"/>
                <w:szCs w:val="21"/>
              </w:rPr>
              <w:t>（教授）</w:t>
            </w:r>
          </w:p>
          <w:p w14:paraId="5A187B01">
            <w:pPr>
              <w:jc w:val="center"/>
              <w:rPr>
                <w:rFonts w:ascii="宋体" w:hAnsi="宋体" w:cs="仿宋_GB2312"/>
                <w:sz w:val="21"/>
                <w:szCs w:val="21"/>
              </w:rPr>
            </w:pPr>
            <w:r>
              <w:rPr>
                <w:rFonts w:hint="eastAsia" w:ascii="宋体" w:hAnsi="宋体" w:cs="仿宋_GB2312"/>
                <w:sz w:val="21"/>
                <w:szCs w:val="21"/>
              </w:rPr>
              <w:t>汪江华</w:t>
            </w:r>
            <w:r>
              <w:rPr>
                <w:rFonts w:ascii="宋体" w:hAnsi="宋体" w:cs="仿宋_GB2312"/>
                <w:sz w:val="21"/>
                <w:szCs w:val="21"/>
              </w:rPr>
              <w:t>（教授）</w:t>
            </w:r>
          </w:p>
          <w:p w14:paraId="30A574B9">
            <w:pPr>
              <w:jc w:val="center"/>
              <w:rPr>
                <w:rFonts w:ascii="宋体" w:hAnsi="宋体" w:cs="仿宋_GB2312"/>
                <w:sz w:val="21"/>
                <w:szCs w:val="21"/>
              </w:rPr>
            </w:pPr>
            <w:r>
              <w:rPr>
                <w:rFonts w:hint="eastAsia" w:ascii="宋体" w:hAnsi="宋体" w:cs="仿宋_GB2312"/>
                <w:sz w:val="21"/>
                <w:szCs w:val="21"/>
              </w:rPr>
              <w:t>谭立峰</w:t>
            </w:r>
            <w:r>
              <w:rPr>
                <w:rFonts w:ascii="宋体" w:hAnsi="宋体" w:cs="仿宋_GB2312"/>
                <w:sz w:val="21"/>
                <w:szCs w:val="21"/>
              </w:rPr>
              <w:t>（教授）</w:t>
            </w:r>
          </w:p>
        </w:tc>
      </w:tr>
      <w:tr w14:paraId="5F58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95" w:type="pct"/>
            <w:vAlign w:val="center"/>
          </w:tcPr>
          <w:p w14:paraId="2F5BC82C">
            <w:pPr>
              <w:jc w:val="center"/>
              <w:rPr>
                <w:rFonts w:ascii="宋体" w:hAnsi="宋体" w:cs="仿宋_GB2312"/>
                <w:sz w:val="21"/>
                <w:szCs w:val="21"/>
              </w:rPr>
            </w:pPr>
            <w:r>
              <w:rPr>
                <w:rFonts w:hint="eastAsia" w:ascii="宋体" w:hAnsi="宋体" w:cs="仿宋_GB2312"/>
                <w:sz w:val="21"/>
                <w:szCs w:val="21"/>
              </w:rPr>
              <w:t>2</w:t>
            </w:r>
          </w:p>
        </w:tc>
        <w:tc>
          <w:tcPr>
            <w:tcW w:w="2065" w:type="pct"/>
            <w:vAlign w:val="center"/>
          </w:tcPr>
          <w:p w14:paraId="76D94A21">
            <w:pPr>
              <w:jc w:val="center"/>
              <w:rPr>
                <w:rFonts w:ascii="宋体" w:hAnsi="宋体" w:cs="仿宋_GB2312"/>
                <w:sz w:val="21"/>
                <w:szCs w:val="21"/>
              </w:rPr>
            </w:pPr>
            <w:r>
              <w:rPr>
                <w:rFonts w:hint="eastAsia" w:ascii="宋体" w:hAnsi="宋体" w:cs="仿宋_GB2312"/>
                <w:sz w:val="21"/>
                <w:szCs w:val="21"/>
              </w:rPr>
              <w:t>规划设计（2）</w:t>
            </w:r>
          </w:p>
        </w:tc>
        <w:tc>
          <w:tcPr>
            <w:tcW w:w="475" w:type="pct"/>
            <w:vAlign w:val="center"/>
          </w:tcPr>
          <w:p w14:paraId="41FB19B9">
            <w:pPr>
              <w:jc w:val="center"/>
              <w:rPr>
                <w:rFonts w:ascii="宋体" w:hAnsi="宋体" w:cs="仿宋_GB2312"/>
                <w:sz w:val="21"/>
                <w:szCs w:val="21"/>
              </w:rPr>
            </w:pPr>
            <w:r>
              <w:rPr>
                <w:rFonts w:ascii="宋体" w:hAnsi="宋体" w:cs="仿宋_GB2312"/>
                <w:sz w:val="21"/>
                <w:szCs w:val="21"/>
              </w:rPr>
              <w:t>32</w:t>
            </w:r>
          </w:p>
        </w:tc>
        <w:tc>
          <w:tcPr>
            <w:tcW w:w="475" w:type="pct"/>
            <w:vAlign w:val="center"/>
          </w:tcPr>
          <w:p w14:paraId="09D05005">
            <w:pPr>
              <w:jc w:val="center"/>
              <w:rPr>
                <w:rFonts w:ascii="宋体" w:hAnsi="宋体" w:cs="仿宋_GB2312"/>
                <w:sz w:val="21"/>
                <w:szCs w:val="21"/>
              </w:rPr>
            </w:pPr>
            <w:r>
              <w:rPr>
                <w:rFonts w:ascii="宋体" w:hAnsi="宋体" w:cs="仿宋_GB2312"/>
                <w:sz w:val="21"/>
                <w:szCs w:val="21"/>
              </w:rPr>
              <w:t>2.0</w:t>
            </w:r>
          </w:p>
        </w:tc>
        <w:tc>
          <w:tcPr>
            <w:tcW w:w="1589" w:type="pct"/>
            <w:vAlign w:val="center"/>
          </w:tcPr>
          <w:p w14:paraId="070D6DA4">
            <w:pPr>
              <w:jc w:val="center"/>
              <w:rPr>
                <w:rFonts w:ascii="宋体" w:hAnsi="宋体" w:cs="仿宋_GB2312"/>
                <w:sz w:val="21"/>
                <w:szCs w:val="21"/>
              </w:rPr>
            </w:pPr>
            <w:r>
              <w:rPr>
                <w:rFonts w:hint="eastAsia" w:ascii="宋体" w:hAnsi="宋体" w:cs="仿宋_GB2312"/>
                <w:sz w:val="21"/>
                <w:szCs w:val="21"/>
              </w:rPr>
              <w:t>曾穗平</w:t>
            </w:r>
            <w:r>
              <w:rPr>
                <w:rFonts w:ascii="宋体" w:hAnsi="宋体" w:cs="仿宋_GB2312"/>
                <w:sz w:val="21"/>
                <w:szCs w:val="21"/>
              </w:rPr>
              <w:t>（副教授）</w:t>
            </w:r>
          </w:p>
          <w:p w14:paraId="1A87DF11">
            <w:pPr>
              <w:jc w:val="center"/>
              <w:rPr>
                <w:rFonts w:ascii="宋体" w:hAnsi="宋体" w:cs="仿宋_GB2312"/>
                <w:sz w:val="21"/>
                <w:szCs w:val="21"/>
              </w:rPr>
            </w:pPr>
            <w:r>
              <w:rPr>
                <w:rFonts w:hint="eastAsia" w:ascii="宋体" w:hAnsi="宋体" w:cs="仿宋_GB2312"/>
                <w:sz w:val="21"/>
                <w:szCs w:val="21"/>
              </w:rPr>
              <w:t>徐嵩</w:t>
            </w:r>
            <w:r>
              <w:rPr>
                <w:rFonts w:ascii="宋体" w:hAnsi="宋体" w:cs="仿宋_GB2312"/>
                <w:sz w:val="21"/>
                <w:szCs w:val="21"/>
              </w:rPr>
              <w:t>（博士学位讲师）</w:t>
            </w:r>
          </w:p>
        </w:tc>
      </w:tr>
      <w:tr w14:paraId="26F3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77D1001F">
            <w:pPr>
              <w:jc w:val="center"/>
              <w:rPr>
                <w:rFonts w:ascii="宋体" w:hAnsi="宋体" w:cs="仿宋_GB2312"/>
                <w:sz w:val="21"/>
                <w:szCs w:val="21"/>
              </w:rPr>
            </w:pPr>
            <w:r>
              <w:rPr>
                <w:rFonts w:hint="eastAsia" w:ascii="宋体" w:hAnsi="宋体" w:cs="仿宋_GB2312"/>
                <w:sz w:val="21"/>
                <w:szCs w:val="21"/>
              </w:rPr>
              <w:t>3</w:t>
            </w:r>
          </w:p>
        </w:tc>
        <w:tc>
          <w:tcPr>
            <w:tcW w:w="2065" w:type="pct"/>
            <w:vAlign w:val="center"/>
          </w:tcPr>
          <w:p w14:paraId="7AA143C5">
            <w:pPr>
              <w:jc w:val="center"/>
              <w:rPr>
                <w:rFonts w:ascii="宋体" w:hAnsi="宋体" w:cs="仿宋_GB2312"/>
                <w:sz w:val="21"/>
                <w:szCs w:val="21"/>
              </w:rPr>
            </w:pPr>
            <w:r>
              <w:rPr>
                <w:rFonts w:hint="eastAsia" w:ascii="宋体" w:hAnsi="宋体" w:cs="仿宋_GB2312"/>
                <w:sz w:val="21"/>
                <w:szCs w:val="21"/>
              </w:rPr>
              <w:t>现代城市规划理论与思潮</w:t>
            </w:r>
          </w:p>
        </w:tc>
        <w:tc>
          <w:tcPr>
            <w:tcW w:w="475" w:type="pct"/>
            <w:vAlign w:val="center"/>
          </w:tcPr>
          <w:p w14:paraId="4E15DA32">
            <w:pPr>
              <w:jc w:val="center"/>
              <w:rPr>
                <w:rFonts w:ascii="宋体" w:hAnsi="宋体" w:cs="仿宋_GB2312"/>
                <w:sz w:val="21"/>
                <w:szCs w:val="21"/>
              </w:rPr>
            </w:pPr>
            <w:r>
              <w:rPr>
                <w:rFonts w:ascii="宋体" w:hAnsi="宋体" w:cs="仿宋_GB2312"/>
                <w:sz w:val="21"/>
                <w:szCs w:val="21"/>
              </w:rPr>
              <w:t>32</w:t>
            </w:r>
          </w:p>
        </w:tc>
        <w:tc>
          <w:tcPr>
            <w:tcW w:w="475" w:type="pct"/>
            <w:vAlign w:val="center"/>
          </w:tcPr>
          <w:p w14:paraId="2E767715">
            <w:pPr>
              <w:jc w:val="center"/>
              <w:rPr>
                <w:rFonts w:ascii="宋体" w:hAnsi="宋体" w:cs="仿宋_GB2312"/>
                <w:sz w:val="21"/>
                <w:szCs w:val="21"/>
              </w:rPr>
            </w:pPr>
            <w:r>
              <w:rPr>
                <w:rFonts w:ascii="宋体" w:hAnsi="宋体" w:cs="仿宋_GB2312"/>
                <w:sz w:val="21"/>
                <w:szCs w:val="21"/>
              </w:rPr>
              <w:t>3.0</w:t>
            </w:r>
          </w:p>
        </w:tc>
        <w:tc>
          <w:tcPr>
            <w:tcW w:w="1589" w:type="pct"/>
            <w:vAlign w:val="center"/>
          </w:tcPr>
          <w:p w14:paraId="719C5F04">
            <w:pPr>
              <w:jc w:val="center"/>
              <w:rPr>
                <w:rFonts w:ascii="宋体" w:hAnsi="宋体" w:cs="仿宋_GB2312"/>
                <w:sz w:val="21"/>
                <w:szCs w:val="21"/>
              </w:rPr>
            </w:pPr>
            <w:r>
              <w:rPr>
                <w:rFonts w:hint="eastAsia" w:ascii="宋体" w:hAnsi="宋体" w:cs="仿宋_GB2312"/>
                <w:sz w:val="21"/>
                <w:szCs w:val="21"/>
              </w:rPr>
              <w:t>王滢</w:t>
            </w:r>
            <w:r>
              <w:rPr>
                <w:rFonts w:ascii="宋体" w:hAnsi="宋体" w:cs="仿宋_GB2312"/>
                <w:sz w:val="21"/>
                <w:szCs w:val="21"/>
              </w:rPr>
              <w:t>（博士学位讲师）</w:t>
            </w:r>
          </w:p>
        </w:tc>
      </w:tr>
      <w:tr w14:paraId="1324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95" w:type="pct"/>
            <w:vAlign w:val="center"/>
          </w:tcPr>
          <w:p w14:paraId="4FEA483D">
            <w:pPr>
              <w:jc w:val="center"/>
              <w:rPr>
                <w:rFonts w:ascii="宋体" w:hAnsi="宋体" w:cs="仿宋_GB2312"/>
                <w:sz w:val="21"/>
                <w:szCs w:val="21"/>
              </w:rPr>
            </w:pPr>
            <w:r>
              <w:rPr>
                <w:rFonts w:hint="eastAsia" w:ascii="宋体" w:hAnsi="宋体" w:cs="仿宋_GB2312"/>
                <w:sz w:val="21"/>
                <w:szCs w:val="21"/>
              </w:rPr>
              <w:t>4</w:t>
            </w:r>
          </w:p>
        </w:tc>
        <w:tc>
          <w:tcPr>
            <w:tcW w:w="2065" w:type="pct"/>
            <w:vAlign w:val="center"/>
          </w:tcPr>
          <w:p w14:paraId="5DEEE66B">
            <w:pPr>
              <w:jc w:val="center"/>
              <w:rPr>
                <w:rFonts w:ascii="宋体" w:hAnsi="宋体" w:cs="仿宋_GB2312"/>
                <w:sz w:val="21"/>
                <w:szCs w:val="21"/>
              </w:rPr>
            </w:pPr>
            <w:r>
              <w:rPr>
                <w:rFonts w:hint="eastAsia" w:ascii="宋体" w:hAnsi="宋体" w:cs="仿宋_GB2312"/>
                <w:sz w:val="21"/>
                <w:szCs w:val="21"/>
              </w:rPr>
              <w:t>研究生论文写作指导</w:t>
            </w:r>
          </w:p>
        </w:tc>
        <w:tc>
          <w:tcPr>
            <w:tcW w:w="475" w:type="pct"/>
            <w:vAlign w:val="center"/>
          </w:tcPr>
          <w:p w14:paraId="68BABE83">
            <w:pPr>
              <w:jc w:val="center"/>
              <w:rPr>
                <w:rFonts w:ascii="宋体" w:hAnsi="宋体" w:cs="仿宋_GB2312"/>
                <w:sz w:val="21"/>
                <w:szCs w:val="21"/>
              </w:rPr>
            </w:pPr>
            <w:r>
              <w:rPr>
                <w:rFonts w:ascii="宋体" w:hAnsi="宋体" w:cs="仿宋_GB2312"/>
                <w:sz w:val="21"/>
                <w:szCs w:val="21"/>
              </w:rPr>
              <w:t>8</w:t>
            </w:r>
          </w:p>
        </w:tc>
        <w:tc>
          <w:tcPr>
            <w:tcW w:w="475" w:type="pct"/>
            <w:vAlign w:val="center"/>
          </w:tcPr>
          <w:p w14:paraId="4D38FAE0">
            <w:pPr>
              <w:jc w:val="center"/>
              <w:rPr>
                <w:rFonts w:ascii="宋体" w:hAnsi="宋体" w:cs="仿宋_GB2312"/>
                <w:sz w:val="21"/>
                <w:szCs w:val="21"/>
              </w:rPr>
            </w:pPr>
            <w:r>
              <w:rPr>
                <w:rFonts w:ascii="宋体" w:hAnsi="宋体" w:cs="仿宋_GB2312"/>
                <w:sz w:val="21"/>
                <w:szCs w:val="21"/>
              </w:rPr>
              <w:t>0.5</w:t>
            </w:r>
          </w:p>
        </w:tc>
        <w:tc>
          <w:tcPr>
            <w:tcW w:w="1589" w:type="pct"/>
            <w:vAlign w:val="center"/>
          </w:tcPr>
          <w:p w14:paraId="0AF2955F">
            <w:pPr>
              <w:jc w:val="center"/>
              <w:rPr>
                <w:rFonts w:ascii="宋体" w:hAnsi="宋体" w:cs="仿宋_GB2312"/>
                <w:sz w:val="21"/>
                <w:szCs w:val="21"/>
              </w:rPr>
            </w:pPr>
            <w:r>
              <w:rPr>
                <w:rFonts w:hint="eastAsia" w:ascii="宋体" w:hAnsi="宋体" w:cs="仿宋_GB2312"/>
                <w:sz w:val="21"/>
                <w:szCs w:val="21"/>
              </w:rPr>
              <w:t>陈立镜</w:t>
            </w:r>
            <w:r>
              <w:rPr>
                <w:rFonts w:ascii="宋体" w:hAnsi="宋体" w:cs="仿宋_GB2312"/>
                <w:sz w:val="21"/>
                <w:szCs w:val="21"/>
              </w:rPr>
              <w:t>（博士学位讲师）</w:t>
            </w:r>
          </w:p>
          <w:p w14:paraId="20C07451">
            <w:pPr>
              <w:jc w:val="center"/>
              <w:rPr>
                <w:rFonts w:ascii="宋体" w:hAnsi="宋体" w:cs="仿宋_GB2312"/>
                <w:sz w:val="21"/>
                <w:szCs w:val="21"/>
              </w:rPr>
            </w:pPr>
            <w:r>
              <w:rPr>
                <w:rFonts w:hint="eastAsia" w:ascii="宋体" w:hAnsi="宋体" w:cs="仿宋_GB2312"/>
                <w:sz w:val="21"/>
                <w:szCs w:val="21"/>
              </w:rPr>
              <w:t>曾穗平</w:t>
            </w:r>
            <w:r>
              <w:rPr>
                <w:rFonts w:ascii="宋体" w:hAnsi="宋体" w:cs="仿宋_GB2312"/>
                <w:sz w:val="21"/>
                <w:szCs w:val="21"/>
              </w:rPr>
              <w:t>（副教授）</w:t>
            </w:r>
          </w:p>
          <w:p w14:paraId="69F9C79E">
            <w:pPr>
              <w:jc w:val="center"/>
              <w:rPr>
                <w:rFonts w:ascii="宋体" w:hAnsi="宋体" w:cs="仿宋_GB2312"/>
                <w:sz w:val="21"/>
                <w:szCs w:val="21"/>
              </w:rPr>
            </w:pPr>
            <w:r>
              <w:rPr>
                <w:rFonts w:hint="eastAsia" w:ascii="宋体" w:hAnsi="宋体" w:cs="仿宋_GB2312"/>
                <w:sz w:val="21"/>
                <w:szCs w:val="21"/>
              </w:rPr>
              <w:t>王岩（教授）</w:t>
            </w:r>
          </w:p>
          <w:p w14:paraId="48511260">
            <w:pPr>
              <w:jc w:val="center"/>
              <w:rPr>
                <w:rFonts w:ascii="宋体" w:hAnsi="宋体" w:cs="仿宋_GB2312"/>
                <w:sz w:val="21"/>
                <w:szCs w:val="21"/>
              </w:rPr>
            </w:pPr>
            <w:r>
              <w:rPr>
                <w:rFonts w:ascii="宋体" w:hAnsi="宋体" w:cs="仿宋_GB2312"/>
                <w:sz w:val="21"/>
                <w:szCs w:val="21"/>
              </w:rPr>
              <w:t>吴军</w:t>
            </w:r>
            <w:r>
              <w:rPr>
                <w:rFonts w:hint="eastAsia" w:ascii="宋体" w:hAnsi="宋体" w:cs="仿宋_GB2312"/>
                <w:sz w:val="21"/>
                <w:szCs w:val="21"/>
              </w:rPr>
              <w:t>（副教授）</w:t>
            </w:r>
          </w:p>
        </w:tc>
      </w:tr>
      <w:tr w14:paraId="2A28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191C0BF8">
            <w:pPr>
              <w:jc w:val="center"/>
              <w:rPr>
                <w:rFonts w:ascii="宋体" w:hAnsi="宋体" w:cs="仿宋_GB2312"/>
                <w:sz w:val="21"/>
                <w:szCs w:val="21"/>
              </w:rPr>
            </w:pPr>
            <w:r>
              <w:rPr>
                <w:rFonts w:hint="eastAsia" w:ascii="宋体" w:hAnsi="宋体" w:cs="仿宋_GB2312"/>
                <w:sz w:val="21"/>
                <w:szCs w:val="21"/>
              </w:rPr>
              <w:t>5</w:t>
            </w:r>
          </w:p>
        </w:tc>
        <w:tc>
          <w:tcPr>
            <w:tcW w:w="2065" w:type="pct"/>
            <w:vAlign w:val="center"/>
          </w:tcPr>
          <w:p w14:paraId="0645890D">
            <w:pPr>
              <w:jc w:val="center"/>
              <w:rPr>
                <w:rFonts w:ascii="宋体" w:hAnsi="宋体" w:cs="仿宋_GB2312"/>
                <w:sz w:val="21"/>
                <w:szCs w:val="21"/>
              </w:rPr>
            </w:pPr>
            <w:r>
              <w:rPr>
                <w:rFonts w:hint="eastAsia" w:ascii="宋体" w:hAnsi="宋体" w:cs="仿宋_GB2312"/>
                <w:sz w:val="21"/>
                <w:szCs w:val="21"/>
              </w:rPr>
              <w:t>社会调查及分析方法</w:t>
            </w:r>
          </w:p>
        </w:tc>
        <w:tc>
          <w:tcPr>
            <w:tcW w:w="475" w:type="pct"/>
            <w:vAlign w:val="center"/>
          </w:tcPr>
          <w:p w14:paraId="21EDB389">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52346C91">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62677097">
            <w:pPr>
              <w:jc w:val="center"/>
              <w:rPr>
                <w:rFonts w:ascii="宋体" w:hAnsi="宋体" w:cs="仿宋_GB2312"/>
                <w:sz w:val="21"/>
                <w:szCs w:val="21"/>
              </w:rPr>
            </w:pPr>
            <w:r>
              <w:rPr>
                <w:rFonts w:hint="eastAsia" w:ascii="宋体" w:hAnsi="宋体" w:cs="仿宋_GB2312"/>
                <w:sz w:val="21"/>
                <w:szCs w:val="21"/>
              </w:rPr>
              <w:t>朱凤杰</w:t>
            </w:r>
            <w:r>
              <w:rPr>
                <w:rFonts w:ascii="宋体" w:hAnsi="宋体" w:cs="仿宋_GB2312"/>
                <w:sz w:val="21"/>
                <w:szCs w:val="21"/>
              </w:rPr>
              <w:t>（博士学位讲师）</w:t>
            </w:r>
          </w:p>
        </w:tc>
      </w:tr>
      <w:tr w14:paraId="4198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3C9D3A73">
            <w:pPr>
              <w:jc w:val="center"/>
              <w:rPr>
                <w:rFonts w:ascii="宋体" w:hAnsi="宋体" w:cs="仿宋_GB2312"/>
                <w:sz w:val="21"/>
                <w:szCs w:val="21"/>
              </w:rPr>
            </w:pPr>
            <w:r>
              <w:rPr>
                <w:rFonts w:hint="eastAsia" w:ascii="宋体" w:hAnsi="宋体" w:cs="仿宋_GB2312"/>
                <w:sz w:val="21"/>
                <w:szCs w:val="21"/>
              </w:rPr>
              <w:t>6</w:t>
            </w:r>
          </w:p>
        </w:tc>
        <w:tc>
          <w:tcPr>
            <w:tcW w:w="2065" w:type="pct"/>
            <w:vAlign w:val="center"/>
          </w:tcPr>
          <w:p w14:paraId="127FA1A0">
            <w:pPr>
              <w:jc w:val="center"/>
              <w:rPr>
                <w:rFonts w:ascii="宋体" w:hAnsi="宋体" w:cs="仿宋_GB2312"/>
                <w:sz w:val="21"/>
                <w:szCs w:val="21"/>
              </w:rPr>
            </w:pPr>
            <w:r>
              <w:rPr>
                <w:rFonts w:hint="eastAsia" w:ascii="宋体" w:hAnsi="宋体" w:cs="仿宋_GB2312"/>
                <w:sz w:val="21"/>
                <w:szCs w:val="21"/>
              </w:rPr>
              <w:t>环境行为学</w:t>
            </w:r>
          </w:p>
        </w:tc>
        <w:tc>
          <w:tcPr>
            <w:tcW w:w="475" w:type="pct"/>
            <w:vAlign w:val="center"/>
          </w:tcPr>
          <w:p w14:paraId="172F05E3">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0D38C134">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7FABFA91">
            <w:pPr>
              <w:jc w:val="center"/>
              <w:rPr>
                <w:rFonts w:ascii="宋体" w:hAnsi="宋体" w:cs="仿宋_GB2312"/>
                <w:sz w:val="21"/>
                <w:szCs w:val="21"/>
              </w:rPr>
            </w:pPr>
            <w:r>
              <w:rPr>
                <w:rFonts w:hint="eastAsia" w:ascii="宋体" w:hAnsi="宋体" w:cs="仿宋_GB2312"/>
                <w:sz w:val="21"/>
                <w:szCs w:val="21"/>
              </w:rPr>
              <w:t>张天宇</w:t>
            </w:r>
            <w:r>
              <w:rPr>
                <w:rFonts w:ascii="宋体" w:hAnsi="宋体" w:cs="仿宋_GB2312"/>
                <w:sz w:val="21"/>
                <w:szCs w:val="21"/>
              </w:rPr>
              <w:t>（副教授）</w:t>
            </w:r>
          </w:p>
        </w:tc>
      </w:tr>
      <w:tr w14:paraId="0A9A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579A0B32">
            <w:pPr>
              <w:jc w:val="center"/>
              <w:rPr>
                <w:rFonts w:ascii="宋体" w:hAnsi="宋体" w:cs="仿宋_GB2312"/>
                <w:sz w:val="21"/>
                <w:szCs w:val="21"/>
              </w:rPr>
            </w:pPr>
            <w:r>
              <w:rPr>
                <w:rFonts w:hint="eastAsia" w:ascii="宋体" w:hAnsi="宋体" w:cs="仿宋_GB2312"/>
                <w:sz w:val="21"/>
                <w:szCs w:val="21"/>
              </w:rPr>
              <w:t>7</w:t>
            </w:r>
          </w:p>
        </w:tc>
        <w:tc>
          <w:tcPr>
            <w:tcW w:w="2065" w:type="pct"/>
            <w:vAlign w:val="center"/>
          </w:tcPr>
          <w:p w14:paraId="139095DB">
            <w:pPr>
              <w:jc w:val="center"/>
              <w:rPr>
                <w:rFonts w:ascii="宋体" w:hAnsi="宋体" w:cs="仿宋_GB2312"/>
                <w:sz w:val="21"/>
                <w:szCs w:val="21"/>
              </w:rPr>
            </w:pPr>
            <w:r>
              <w:rPr>
                <w:rFonts w:hint="eastAsia" w:ascii="宋体" w:hAnsi="宋体" w:cs="仿宋_GB2312"/>
                <w:sz w:val="21"/>
                <w:szCs w:val="21"/>
              </w:rPr>
              <w:t>建筑计划学</w:t>
            </w:r>
          </w:p>
        </w:tc>
        <w:tc>
          <w:tcPr>
            <w:tcW w:w="475" w:type="pct"/>
            <w:vAlign w:val="center"/>
          </w:tcPr>
          <w:p w14:paraId="7AB5DEA4">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360E5680">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6EDF29EF">
            <w:pPr>
              <w:jc w:val="center"/>
              <w:rPr>
                <w:rFonts w:ascii="宋体" w:hAnsi="宋体" w:cs="仿宋_GB2312"/>
                <w:sz w:val="21"/>
                <w:szCs w:val="21"/>
              </w:rPr>
            </w:pPr>
            <w:r>
              <w:rPr>
                <w:rFonts w:hint="eastAsia" w:ascii="宋体" w:hAnsi="宋体" w:cs="仿宋_GB2312"/>
                <w:sz w:val="21"/>
                <w:szCs w:val="21"/>
              </w:rPr>
              <w:t>李峰</w:t>
            </w:r>
            <w:r>
              <w:rPr>
                <w:rFonts w:ascii="宋体" w:hAnsi="宋体" w:cs="仿宋_GB2312"/>
                <w:sz w:val="21"/>
                <w:szCs w:val="21"/>
              </w:rPr>
              <w:t>（博士学位讲师）</w:t>
            </w:r>
          </w:p>
        </w:tc>
      </w:tr>
      <w:tr w14:paraId="7961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2FBDEA0A">
            <w:pPr>
              <w:jc w:val="center"/>
              <w:rPr>
                <w:rFonts w:ascii="宋体" w:hAnsi="宋体" w:cs="仿宋_GB2312"/>
                <w:sz w:val="21"/>
                <w:szCs w:val="21"/>
              </w:rPr>
            </w:pPr>
            <w:r>
              <w:rPr>
                <w:rFonts w:hint="eastAsia" w:ascii="宋体" w:hAnsi="宋体" w:cs="仿宋_GB2312"/>
                <w:sz w:val="21"/>
                <w:szCs w:val="21"/>
              </w:rPr>
              <w:t>8</w:t>
            </w:r>
          </w:p>
        </w:tc>
        <w:tc>
          <w:tcPr>
            <w:tcW w:w="2065" w:type="pct"/>
            <w:vAlign w:val="center"/>
          </w:tcPr>
          <w:p w14:paraId="26DC4EB1">
            <w:pPr>
              <w:jc w:val="center"/>
              <w:rPr>
                <w:rFonts w:ascii="宋体" w:hAnsi="宋体" w:cs="仿宋_GB2312"/>
                <w:sz w:val="21"/>
                <w:szCs w:val="21"/>
              </w:rPr>
            </w:pPr>
            <w:r>
              <w:rPr>
                <w:rFonts w:hint="eastAsia" w:ascii="宋体" w:hAnsi="宋体" w:cs="仿宋_GB2312"/>
                <w:sz w:val="21"/>
                <w:szCs w:val="21"/>
              </w:rPr>
              <w:t>城市空间设计</w:t>
            </w:r>
          </w:p>
        </w:tc>
        <w:tc>
          <w:tcPr>
            <w:tcW w:w="475" w:type="pct"/>
            <w:vAlign w:val="center"/>
          </w:tcPr>
          <w:p w14:paraId="0380048E">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605727E6">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7B89921F">
            <w:pPr>
              <w:jc w:val="center"/>
              <w:rPr>
                <w:rFonts w:ascii="宋体" w:hAnsi="宋体" w:cs="仿宋_GB2312"/>
                <w:sz w:val="21"/>
                <w:szCs w:val="21"/>
              </w:rPr>
            </w:pPr>
            <w:r>
              <w:rPr>
                <w:rFonts w:hint="eastAsia" w:ascii="宋体" w:hAnsi="宋体" w:cs="仿宋_GB2312"/>
                <w:sz w:val="21"/>
                <w:szCs w:val="21"/>
              </w:rPr>
              <w:t>宫同伟</w:t>
            </w:r>
            <w:r>
              <w:rPr>
                <w:rFonts w:ascii="宋体" w:hAnsi="宋体" w:cs="仿宋_GB2312"/>
                <w:sz w:val="21"/>
                <w:szCs w:val="21"/>
              </w:rPr>
              <w:t>（副教授）</w:t>
            </w:r>
          </w:p>
        </w:tc>
      </w:tr>
      <w:tr w14:paraId="7906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95" w:type="pct"/>
          </w:tcPr>
          <w:p w14:paraId="6942D9DA">
            <w:pPr>
              <w:jc w:val="center"/>
              <w:rPr>
                <w:rFonts w:ascii="宋体" w:hAnsi="宋体" w:cs="仿宋_GB2312"/>
                <w:sz w:val="21"/>
                <w:szCs w:val="21"/>
              </w:rPr>
            </w:pPr>
            <w:r>
              <w:rPr>
                <w:rFonts w:hint="eastAsia" w:ascii="宋体" w:hAnsi="宋体" w:cs="仿宋_GB2312"/>
                <w:sz w:val="21"/>
                <w:szCs w:val="21"/>
              </w:rPr>
              <w:t>9</w:t>
            </w:r>
          </w:p>
        </w:tc>
        <w:tc>
          <w:tcPr>
            <w:tcW w:w="2065" w:type="pct"/>
            <w:vAlign w:val="center"/>
          </w:tcPr>
          <w:p w14:paraId="622268CE">
            <w:pPr>
              <w:jc w:val="center"/>
              <w:rPr>
                <w:rFonts w:ascii="宋体" w:hAnsi="宋体" w:cs="仿宋_GB2312"/>
                <w:sz w:val="21"/>
                <w:szCs w:val="21"/>
              </w:rPr>
            </w:pPr>
            <w:r>
              <w:rPr>
                <w:rFonts w:hint="eastAsia" w:ascii="宋体" w:hAnsi="宋体" w:cs="仿宋_GB2312"/>
                <w:sz w:val="21"/>
                <w:szCs w:val="21"/>
              </w:rPr>
              <w:t>城市空间数字技术应用</w:t>
            </w:r>
          </w:p>
        </w:tc>
        <w:tc>
          <w:tcPr>
            <w:tcW w:w="475" w:type="pct"/>
            <w:vAlign w:val="center"/>
          </w:tcPr>
          <w:p w14:paraId="53BB8571">
            <w:pPr>
              <w:jc w:val="center"/>
              <w:rPr>
                <w:rFonts w:ascii="宋体" w:hAnsi="宋体" w:cs="仿宋_GB2312"/>
                <w:sz w:val="21"/>
                <w:szCs w:val="21"/>
              </w:rPr>
            </w:pPr>
            <w:r>
              <w:rPr>
                <w:rFonts w:ascii="宋体" w:hAnsi="宋体" w:cs="仿宋_GB2312"/>
                <w:sz w:val="21"/>
                <w:szCs w:val="21"/>
              </w:rPr>
              <w:t>24</w:t>
            </w:r>
          </w:p>
        </w:tc>
        <w:tc>
          <w:tcPr>
            <w:tcW w:w="475" w:type="pct"/>
            <w:vAlign w:val="center"/>
          </w:tcPr>
          <w:p w14:paraId="180AE71F">
            <w:pPr>
              <w:jc w:val="center"/>
              <w:rPr>
                <w:rFonts w:ascii="宋体" w:hAnsi="宋体" w:cs="仿宋_GB2312"/>
                <w:sz w:val="21"/>
                <w:szCs w:val="21"/>
              </w:rPr>
            </w:pPr>
            <w:r>
              <w:rPr>
                <w:rFonts w:ascii="宋体" w:hAnsi="宋体" w:cs="仿宋_GB2312"/>
                <w:sz w:val="21"/>
                <w:szCs w:val="21"/>
              </w:rPr>
              <w:t>1.5</w:t>
            </w:r>
          </w:p>
        </w:tc>
        <w:tc>
          <w:tcPr>
            <w:tcW w:w="1589" w:type="pct"/>
            <w:vAlign w:val="center"/>
          </w:tcPr>
          <w:p w14:paraId="552E4E0F">
            <w:pPr>
              <w:jc w:val="center"/>
              <w:rPr>
                <w:rFonts w:ascii="宋体" w:hAnsi="宋体" w:cs="仿宋_GB2312"/>
                <w:sz w:val="21"/>
                <w:szCs w:val="21"/>
              </w:rPr>
            </w:pPr>
            <w:r>
              <w:rPr>
                <w:rFonts w:hint="eastAsia" w:ascii="宋体" w:hAnsi="宋体" w:cs="仿宋_GB2312"/>
                <w:sz w:val="21"/>
                <w:szCs w:val="21"/>
              </w:rPr>
              <w:t>李发明</w:t>
            </w:r>
            <w:r>
              <w:rPr>
                <w:rFonts w:ascii="宋体" w:hAnsi="宋体" w:cs="仿宋_GB2312"/>
                <w:sz w:val="21"/>
                <w:szCs w:val="21"/>
              </w:rPr>
              <w:t>（博士学位讲师）</w:t>
            </w:r>
          </w:p>
          <w:p w14:paraId="2B4E9C1E">
            <w:pPr>
              <w:jc w:val="center"/>
              <w:rPr>
                <w:rFonts w:ascii="宋体" w:hAnsi="宋体" w:cs="仿宋_GB2312"/>
                <w:sz w:val="21"/>
                <w:szCs w:val="21"/>
              </w:rPr>
            </w:pPr>
            <w:r>
              <w:rPr>
                <w:rFonts w:hint="eastAsia" w:ascii="宋体" w:hAnsi="宋体" w:cs="仿宋_GB2312"/>
                <w:sz w:val="21"/>
                <w:szCs w:val="21"/>
              </w:rPr>
              <w:t>王海涛</w:t>
            </w:r>
            <w:r>
              <w:rPr>
                <w:rFonts w:ascii="宋体" w:hAnsi="宋体" w:cs="仿宋_GB2312"/>
                <w:sz w:val="21"/>
                <w:szCs w:val="21"/>
              </w:rPr>
              <w:t>（博士学位讲师）</w:t>
            </w:r>
          </w:p>
        </w:tc>
      </w:tr>
      <w:tr w14:paraId="1895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019F8CA8">
            <w:pPr>
              <w:jc w:val="center"/>
              <w:rPr>
                <w:rFonts w:ascii="宋体" w:hAnsi="宋体" w:cs="仿宋_GB2312"/>
                <w:sz w:val="21"/>
                <w:szCs w:val="21"/>
              </w:rPr>
            </w:pPr>
            <w:r>
              <w:rPr>
                <w:rFonts w:hint="eastAsia" w:ascii="宋体" w:hAnsi="宋体" w:cs="仿宋_GB2312"/>
                <w:sz w:val="21"/>
                <w:szCs w:val="21"/>
              </w:rPr>
              <w:t>10</w:t>
            </w:r>
          </w:p>
        </w:tc>
        <w:tc>
          <w:tcPr>
            <w:tcW w:w="2065" w:type="pct"/>
            <w:vAlign w:val="center"/>
          </w:tcPr>
          <w:p w14:paraId="276A6CFA">
            <w:pPr>
              <w:jc w:val="center"/>
              <w:rPr>
                <w:rFonts w:ascii="宋体" w:hAnsi="宋体" w:cs="仿宋_GB2312"/>
                <w:sz w:val="21"/>
                <w:szCs w:val="21"/>
              </w:rPr>
            </w:pPr>
            <w:r>
              <w:rPr>
                <w:rFonts w:hint="eastAsia" w:ascii="宋体" w:hAnsi="宋体" w:cs="仿宋_GB2312"/>
                <w:sz w:val="21"/>
                <w:szCs w:val="21"/>
              </w:rPr>
              <w:t>艺术史纲</w:t>
            </w:r>
          </w:p>
        </w:tc>
        <w:tc>
          <w:tcPr>
            <w:tcW w:w="475" w:type="pct"/>
            <w:vAlign w:val="center"/>
          </w:tcPr>
          <w:p w14:paraId="783DABFB">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61C818AD">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6E7D6CF8">
            <w:pPr>
              <w:jc w:val="center"/>
              <w:rPr>
                <w:rFonts w:ascii="宋体" w:hAnsi="宋体" w:cs="仿宋_GB2312"/>
                <w:sz w:val="21"/>
                <w:szCs w:val="21"/>
              </w:rPr>
            </w:pPr>
            <w:r>
              <w:rPr>
                <w:rFonts w:hint="eastAsia" w:ascii="宋体" w:hAnsi="宋体" w:cs="仿宋_GB2312"/>
                <w:sz w:val="21"/>
                <w:szCs w:val="21"/>
              </w:rPr>
              <w:t>孙媛媛</w:t>
            </w:r>
            <w:r>
              <w:rPr>
                <w:rFonts w:ascii="宋体" w:hAnsi="宋体" w:cs="仿宋_GB2312"/>
                <w:sz w:val="21"/>
                <w:szCs w:val="21"/>
              </w:rPr>
              <w:t>（副教授）</w:t>
            </w:r>
          </w:p>
        </w:tc>
      </w:tr>
      <w:tr w14:paraId="076F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5865303A">
            <w:pPr>
              <w:jc w:val="center"/>
              <w:rPr>
                <w:rFonts w:ascii="宋体" w:hAnsi="宋体" w:cs="仿宋_GB2312"/>
                <w:sz w:val="21"/>
                <w:szCs w:val="21"/>
              </w:rPr>
            </w:pPr>
            <w:r>
              <w:rPr>
                <w:rFonts w:hint="eastAsia" w:ascii="宋体" w:hAnsi="宋体" w:cs="仿宋_GB2312"/>
                <w:sz w:val="21"/>
                <w:szCs w:val="21"/>
              </w:rPr>
              <w:t>11</w:t>
            </w:r>
          </w:p>
        </w:tc>
        <w:tc>
          <w:tcPr>
            <w:tcW w:w="2065" w:type="pct"/>
            <w:vAlign w:val="center"/>
          </w:tcPr>
          <w:p w14:paraId="29BDD869">
            <w:pPr>
              <w:jc w:val="center"/>
              <w:rPr>
                <w:rFonts w:ascii="宋体" w:hAnsi="宋体" w:cs="仿宋_GB2312"/>
                <w:sz w:val="21"/>
                <w:szCs w:val="21"/>
              </w:rPr>
            </w:pPr>
            <w:r>
              <w:rPr>
                <w:rFonts w:hint="eastAsia" w:ascii="宋体" w:hAnsi="宋体" w:cs="仿宋_GB2312"/>
                <w:sz w:val="21"/>
                <w:szCs w:val="21"/>
              </w:rPr>
              <w:t>生态学专题</w:t>
            </w:r>
          </w:p>
        </w:tc>
        <w:tc>
          <w:tcPr>
            <w:tcW w:w="475" w:type="pct"/>
            <w:vAlign w:val="center"/>
          </w:tcPr>
          <w:p w14:paraId="1E237720">
            <w:pPr>
              <w:jc w:val="center"/>
              <w:rPr>
                <w:rFonts w:ascii="宋体" w:hAnsi="宋体" w:cs="仿宋_GB2312"/>
                <w:sz w:val="21"/>
                <w:szCs w:val="21"/>
              </w:rPr>
            </w:pPr>
            <w:r>
              <w:rPr>
                <w:rFonts w:ascii="宋体" w:hAnsi="宋体" w:cs="仿宋_GB2312"/>
                <w:sz w:val="21"/>
                <w:szCs w:val="21"/>
              </w:rPr>
              <w:t>24</w:t>
            </w:r>
          </w:p>
        </w:tc>
        <w:tc>
          <w:tcPr>
            <w:tcW w:w="475" w:type="pct"/>
            <w:vAlign w:val="center"/>
          </w:tcPr>
          <w:p w14:paraId="5EA07E02">
            <w:pPr>
              <w:jc w:val="center"/>
              <w:rPr>
                <w:rFonts w:ascii="宋体" w:hAnsi="宋体" w:cs="仿宋_GB2312"/>
                <w:sz w:val="21"/>
                <w:szCs w:val="21"/>
              </w:rPr>
            </w:pPr>
            <w:r>
              <w:rPr>
                <w:rFonts w:ascii="宋体" w:hAnsi="宋体" w:cs="仿宋_GB2312"/>
                <w:sz w:val="21"/>
                <w:szCs w:val="21"/>
              </w:rPr>
              <w:t>1.5</w:t>
            </w:r>
          </w:p>
        </w:tc>
        <w:tc>
          <w:tcPr>
            <w:tcW w:w="1589" w:type="pct"/>
            <w:vAlign w:val="center"/>
          </w:tcPr>
          <w:p w14:paraId="7F063E00">
            <w:pPr>
              <w:jc w:val="center"/>
              <w:rPr>
                <w:rFonts w:ascii="宋体" w:hAnsi="宋体" w:cs="仿宋_GB2312"/>
                <w:sz w:val="21"/>
                <w:szCs w:val="21"/>
              </w:rPr>
            </w:pPr>
            <w:r>
              <w:rPr>
                <w:rFonts w:ascii="宋体" w:hAnsi="宋体" w:cs="仿宋_GB2312"/>
                <w:sz w:val="21"/>
                <w:szCs w:val="21"/>
              </w:rPr>
              <w:t>杨传贵（教授）</w:t>
            </w:r>
          </w:p>
        </w:tc>
      </w:tr>
    </w:tbl>
    <w:p w14:paraId="4656BF10">
      <w:pPr>
        <w:pStyle w:val="4"/>
      </w:pPr>
      <w:r>
        <w:rPr>
          <w:rFonts w:hint="eastAsia"/>
        </w:rPr>
        <w:t>3</w:t>
      </w:r>
      <w:r>
        <w:t>.4导师指导</w:t>
      </w:r>
    </w:p>
    <w:p w14:paraId="07DD4A6E">
      <w:pPr>
        <w:pStyle w:val="22"/>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导师队伍的选聘：</w:t>
      </w:r>
      <w:r>
        <w:rPr>
          <w:rFonts w:ascii="宋体" w:hAnsi="宋体" w:eastAsia="宋体" w:cs="宋体"/>
          <w:color w:val="auto"/>
          <w:sz w:val="28"/>
          <w:szCs w:val="28"/>
        </w:rPr>
        <w:t>申请硕士研究生指导教师应具备的基本条件</w:t>
      </w:r>
      <w:r>
        <w:rPr>
          <w:rFonts w:hint="eastAsia" w:ascii="宋体" w:hAnsi="宋体" w:eastAsia="宋体" w:cs="宋体"/>
          <w:color w:val="auto"/>
          <w:sz w:val="28"/>
          <w:szCs w:val="28"/>
        </w:rPr>
        <w:t>如下。</w:t>
      </w:r>
    </w:p>
    <w:p w14:paraId="4F735E62">
      <w:pPr>
        <w:pStyle w:val="22"/>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热爱祖国，拥护中国共产党领导，认真贯彻落实党的教育方针，忠于人民的教育事业，具有较高的政治素质；坚持立德树人，以德立学，以德施教，恪守学术道德；熟悉学位与研究生教育工作，富于创新精神；能够履行硕士研究生指导教师职责。</w:t>
      </w:r>
    </w:p>
    <w:p w14:paraId="0BFFF52C">
      <w:pPr>
        <w:pStyle w:val="22"/>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（2）具有高级专业技术职称，或具有博士学位的中级专业技术职称，且学校聘期岗位考核合格。</w:t>
      </w:r>
    </w:p>
    <w:p w14:paraId="2EA04EFA">
      <w:pPr>
        <w:pStyle w:val="22"/>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学术学位硕士研究生指导教师应具有较高的学术造诣，有从事科研工作经验和稳定的研究方向；专业学位研究生指导教师，应具有较为丰富的工程背景或实践经验，在科技开发和成果转化中成绩突出并取得较好的经济效益或社会效益。</w:t>
      </w:r>
    </w:p>
    <w:p w14:paraId="3FAE9526">
      <w:pPr>
        <w:pStyle w:val="22"/>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（4）能够讲授所在学科（专业）</w:t>
      </w:r>
      <w:r>
        <w:rPr>
          <w:rFonts w:ascii="宋体" w:hAnsi="宋体" w:eastAsia="宋体" w:cs="宋体"/>
          <w:color w:val="auto"/>
          <w:sz w:val="28"/>
          <w:szCs w:val="28"/>
        </w:rPr>
        <w:t>1门及以上硕士研究生课程，</w:t>
      </w:r>
      <w:r>
        <w:rPr>
          <w:rFonts w:hint="eastAsia" w:ascii="宋体" w:hAnsi="宋体" w:eastAsia="宋体" w:cs="宋体"/>
          <w:color w:val="auto"/>
          <w:sz w:val="28"/>
          <w:szCs w:val="28"/>
        </w:rPr>
        <w:t>或举办反映该学科（专业）当前发展水平的专题讲座；能指导硕士研究生进行专业外国语学习。指导中外合作办学及来华留学硕士研究生的指导教师应具有良好的英文沟通能力。</w:t>
      </w:r>
    </w:p>
    <w:p w14:paraId="74A6B7F4">
      <w:pPr>
        <w:pStyle w:val="22"/>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（5）原则上到规定退休年龄前至少能完整指导毕业一届硕士研究生。</w:t>
      </w:r>
    </w:p>
    <w:p w14:paraId="7CA1F8B8">
      <w:pPr>
        <w:pStyle w:val="22"/>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培训与考核情况：本学位点在导师聘用中严格遵守天津城建大学的相关规定，强调德才兼备、专业能力强、实践经验丰富的教师作为专业学位导师的基本条件，积极选聘规划设计大师、设计企业的院长、总规划师等校外资源扩充导师队伍。每学期定期举办各类专业培训，加强校内外导师之间的交流，为校内外导师的各种合作创造条件。为提高新增导师的教学能力，学院安排新增导师与经验丰富的导师联合指导硕士生，至完成全过程培养环节后才具有独立招生资格。</w:t>
      </w:r>
    </w:p>
    <w:p w14:paraId="0D5ED2E3">
      <w:pPr>
        <w:pStyle w:val="22"/>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学院每年对指导教师进行考核，</w:t>
      </w:r>
      <w:r>
        <w:rPr>
          <w:rFonts w:ascii="宋体" w:hAnsi="宋体" w:eastAsia="宋体" w:cs="宋体"/>
          <w:color w:val="auto"/>
          <w:sz w:val="28"/>
          <w:szCs w:val="28"/>
        </w:rPr>
        <w:t>一般于每年7月进</w:t>
      </w:r>
      <w:r>
        <w:rPr>
          <w:rFonts w:hint="eastAsia" w:ascii="宋体" w:hAnsi="宋体" w:eastAsia="宋体" w:cs="宋体"/>
          <w:color w:val="auto"/>
          <w:sz w:val="28"/>
          <w:szCs w:val="28"/>
        </w:rPr>
        <w:t>行。</w:t>
      </w:r>
      <w:r>
        <w:rPr>
          <w:rFonts w:ascii="宋体" w:hAnsi="宋体" w:eastAsia="宋体" w:cs="宋体"/>
          <w:color w:val="auto"/>
          <w:sz w:val="28"/>
          <w:szCs w:val="28"/>
        </w:rPr>
        <w:t>考核内容</w:t>
      </w:r>
      <w:r>
        <w:rPr>
          <w:rFonts w:hint="eastAsia" w:ascii="宋体" w:hAnsi="宋体" w:eastAsia="宋体" w:cs="宋体"/>
          <w:color w:val="auto"/>
          <w:sz w:val="28"/>
          <w:szCs w:val="28"/>
        </w:rPr>
        <w:t>包括</w:t>
      </w:r>
      <w:r>
        <w:rPr>
          <w:rFonts w:ascii="宋体" w:hAnsi="宋体" w:eastAsia="宋体" w:cs="宋体"/>
          <w:color w:val="auto"/>
          <w:sz w:val="28"/>
          <w:szCs w:val="28"/>
        </w:rPr>
        <w:t>考核硕士研究生指导教师的师德师风、立德树</w:t>
      </w:r>
      <w:r>
        <w:rPr>
          <w:rFonts w:hint="eastAsia" w:ascii="宋体" w:hAnsi="宋体" w:eastAsia="宋体" w:cs="宋体"/>
          <w:color w:val="auto"/>
          <w:sz w:val="28"/>
          <w:szCs w:val="28"/>
        </w:rPr>
        <w:t>人、指导研究生履职情况和学术业绩等；指导教师在规定时间内，向学院提交《建筑学院硕士研究生指导教师年度考核登记表》。考核结果可作为指导教师本年度招收硕士研究生的依据。</w:t>
      </w:r>
      <w:r>
        <w:rPr>
          <w:rFonts w:ascii="宋体" w:hAnsi="宋体" w:eastAsia="宋体" w:cs="宋体"/>
          <w:color w:val="auto"/>
          <w:sz w:val="28"/>
          <w:szCs w:val="28"/>
        </w:rPr>
        <w:t>考核结果分为合格与不合格。考核不合格的指导教师暂停当年</w:t>
      </w:r>
      <w:r>
        <w:rPr>
          <w:rFonts w:hint="eastAsia" w:ascii="宋体" w:hAnsi="宋体" w:eastAsia="宋体" w:cs="宋体"/>
          <w:color w:val="auto"/>
          <w:sz w:val="28"/>
          <w:szCs w:val="28"/>
        </w:rPr>
        <w:t>的招生资格。</w:t>
      </w:r>
    </w:p>
    <w:p w14:paraId="39AA9B0E">
      <w:pPr>
        <w:pStyle w:val="22"/>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导师指导研究生的制度要求和执行情况：</w:t>
      </w:r>
      <w:r>
        <w:rPr>
          <w:rFonts w:ascii="宋体" w:hAnsi="宋体" w:eastAsia="宋体" w:cs="宋体"/>
          <w:color w:val="auto"/>
          <w:sz w:val="28"/>
          <w:szCs w:val="28"/>
        </w:rPr>
        <w:t>学校鼓励硕士研究生培养采用团队指导方式，指导教</w:t>
      </w:r>
      <w:r>
        <w:rPr>
          <w:rFonts w:hint="eastAsia" w:ascii="宋体" w:hAnsi="宋体" w:eastAsia="宋体" w:cs="宋体"/>
          <w:color w:val="auto"/>
          <w:sz w:val="28"/>
          <w:szCs w:val="28"/>
        </w:rPr>
        <w:t>师团队应由具有硕士研究生指导教师资格的人员负责，并吸收</w:t>
      </w:r>
      <w:r>
        <w:rPr>
          <w:rFonts w:ascii="宋体" w:hAnsi="宋体" w:eastAsia="宋体" w:cs="宋体"/>
          <w:color w:val="auto"/>
          <w:sz w:val="28"/>
          <w:szCs w:val="28"/>
        </w:rPr>
        <w:t>1至2</w:t>
      </w:r>
      <w:r>
        <w:rPr>
          <w:rFonts w:hint="eastAsia" w:ascii="宋体" w:hAnsi="宋体" w:eastAsia="宋体" w:cs="宋体"/>
          <w:color w:val="auto"/>
          <w:sz w:val="28"/>
          <w:szCs w:val="28"/>
        </w:rPr>
        <w:t>名具有博士学位的青年教师参加。二级学院应制定指导教师团队管理实施细则。指导教师团队由二级学院学位评定分委员会审批，报研究生处备案。</w:t>
      </w:r>
    </w:p>
    <w:p w14:paraId="79431B9C">
      <w:pPr>
        <w:pStyle w:val="22"/>
        <w:spacing w:line="360" w:lineRule="auto"/>
        <w:ind w:firstLine="560" w:firstLineChars="200"/>
        <w:rPr>
          <w:rFonts w:ascii="宋体" w:hAnsi="宋体" w:eastAsia="宋体" w:cs="宋体"/>
          <w:color w:val="auto"/>
          <w:sz w:val="28"/>
          <w:szCs w:val="28"/>
        </w:rPr>
      </w:pPr>
      <w:r>
        <w:rPr>
          <w:rFonts w:ascii="宋体" w:hAnsi="宋体" w:eastAsia="宋体" w:cs="宋体"/>
          <w:color w:val="auto"/>
          <w:sz w:val="28"/>
          <w:szCs w:val="28"/>
        </w:rPr>
        <w:t>校内硕士研究生指导教师退休或调离学校，所指导</w:t>
      </w:r>
      <w:r>
        <w:rPr>
          <w:rFonts w:hint="eastAsia" w:ascii="宋体" w:hAnsi="宋体" w:eastAsia="宋体" w:cs="宋体"/>
          <w:color w:val="auto"/>
          <w:sz w:val="28"/>
          <w:szCs w:val="28"/>
        </w:rPr>
        <w:t>的硕士研究生可变更指导教师或由原指导教师继续指导。</w:t>
      </w:r>
    </w:p>
    <w:p w14:paraId="30263DA4">
      <w:pPr>
        <w:pStyle w:val="22"/>
        <w:spacing w:line="360" w:lineRule="auto"/>
        <w:ind w:firstLine="560" w:firstLineChars="200"/>
        <w:rPr>
          <w:rFonts w:ascii="宋体" w:hAnsi="宋体" w:eastAsia="宋体" w:cs="宋体"/>
          <w:color w:val="auto"/>
          <w:sz w:val="28"/>
          <w:szCs w:val="28"/>
        </w:rPr>
      </w:pPr>
      <w:r>
        <w:rPr>
          <w:rFonts w:ascii="宋体" w:hAnsi="宋体" w:eastAsia="宋体" w:cs="宋体"/>
          <w:color w:val="auto"/>
          <w:sz w:val="28"/>
          <w:szCs w:val="28"/>
        </w:rPr>
        <w:t>硕士研究生由外聘指导教师、退休指导教师指导的，</w:t>
      </w:r>
      <w:r>
        <w:rPr>
          <w:rFonts w:hint="eastAsia" w:ascii="宋体" w:hAnsi="宋体" w:eastAsia="宋体" w:cs="宋体"/>
          <w:color w:val="auto"/>
          <w:sz w:val="28"/>
          <w:szCs w:val="28"/>
        </w:rPr>
        <w:t>或指导教师调离学校的，须由二级学院安排校内第二导师，第二导师负责研究生培养日常管理工作，并取得相应的研究生指导工作量。第二导师应为具有高级技术职称或具有博士学位的本校教师。</w:t>
      </w:r>
    </w:p>
    <w:p w14:paraId="73ABC885">
      <w:pPr>
        <w:pStyle w:val="4"/>
      </w:pPr>
      <w:r>
        <w:rPr>
          <w:rFonts w:hint="eastAsia"/>
        </w:rPr>
        <w:t>3</w:t>
      </w:r>
      <w:r>
        <w:t>.5学术训练</w:t>
      </w:r>
    </w:p>
    <w:p w14:paraId="0B0F8CC6">
      <w:pPr>
        <w:spacing w:line="360" w:lineRule="auto"/>
        <w:ind w:firstLine="560" w:firstLineChars="200"/>
        <w:rPr>
          <w:rFonts w:ascii="宋体" w:hAnsi="宋体"/>
          <w:szCs w:val="28"/>
        </w:rPr>
      </w:pPr>
      <w:r>
        <w:rPr>
          <w:rFonts w:hint="eastAsia" w:ascii="宋体" w:hAnsi="宋体"/>
          <w:szCs w:val="28"/>
        </w:rPr>
        <w:t>城乡规划学硕士研究生通过学位培养方案全过程训练，能够从事城市规划与设计相关研究，并在导师指导下完成学术性学位论文。研究生科研能力与方法的培养贯穿于整个研究生的培养过程之中。主要分为两个阶段，即理论学习阶段和论文写作阶段。其中在一年级的理论学习阶段，“研究生论文写作指导”等课程以及多门课程结课的研究报告、文献阅读、参加学术报告、发表论文都是强化研究能力培养的手段；另外通过参与到导师科研课题研究也是提高学生科研能力的一个重要途径。</w:t>
      </w:r>
    </w:p>
    <w:p w14:paraId="20BF06FC">
      <w:pPr>
        <w:spacing w:line="360" w:lineRule="auto"/>
        <w:ind w:firstLine="560" w:firstLineChars="200"/>
        <w:rPr>
          <w:rFonts w:ascii="宋体" w:hAnsi="宋体"/>
          <w:szCs w:val="28"/>
        </w:rPr>
      </w:pPr>
      <w:r>
        <w:rPr>
          <w:rFonts w:hint="eastAsia" w:ascii="宋体" w:hAnsi="宋体"/>
          <w:szCs w:val="28"/>
        </w:rPr>
        <w:t>《天津城建大学全面落实研究生导师立德树人职责实施细则》中明确：（1）优化研究生培养条件。积极为研究生的学习和成长创造条件，为研究生开展科学研究提供有利条件；积极创设良好的学术流平台，提供研究生参与社会实践和学术交流的机会；鼓励研究生积极参与课题研究，并根据实际情况，为研究生提供相应的经费支持。（2）培养研究生实践创新能力。注重培养研究生分析问题、解决问题的能力，强化理论与实践相结合；鼓励研究生参与创新实践赛事活动，并给予时间、经费等条件支持；支持全日制专业学位研究生在学期间进行至少半年的专业实践，期间至少到实践基地指导</w:t>
      </w:r>
      <w:r>
        <w:rPr>
          <w:rFonts w:ascii="宋体" w:hAnsi="宋体"/>
          <w:szCs w:val="28"/>
        </w:rPr>
        <w:t>2</w:t>
      </w:r>
      <w:r>
        <w:rPr>
          <w:rFonts w:hint="eastAsia" w:ascii="宋体" w:hAnsi="宋体"/>
          <w:szCs w:val="28"/>
        </w:rPr>
        <w:t>次，并做好研究生实践安全教育，积极与校外合作导师沟通。鼓励研究生进行创业实践；支持和指导研究生将科研成果转化应用，推动产学研用紧密结合，提升研究生创新创业能力。</w:t>
      </w:r>
    </w:p>
    <w:p w14:paraId="56B95C2B">
      <w:pPr>
        <w:pStyle w:val="4"/>
      </w:pPr>
      <w:r>
        <w:rPr>
          <w:rFonts w:hint="eastAsia"/>
        </w:rPr>
        <w:t>3</w:t>
      </w:r>
      <w:r>
        <w:t>.6学术交流</w:t>
      </w:r>
    </w:p>
    <w:p w14:paraId="139F3459">
      <w:pPr>
        <w:spacing w:line="360" w:lineRule="auto"/>
        <w:ind w:firstLine="560" w:firstLineChars="200"/>
        <w:rPr>
          <w:rFonts w:ascii="宋体" w:hAnsi="宋体"/>
          <w:szCs w:val="28"/>
        </w:rPr>
      </w:pPr>
      <w:r>
        <w:rPr>
          <w:rFonts w:ascii="宋体" w:hAnsi="宋体"/>
          <w:szCs w:val="28"/>
        </w:rPr>
        <w:t>2022年顺利完成修订本学位点研究生培养方案。本学位点是“北方规划教育联盟”“城乡规划专业京津冀高校‘X+1’联合毕业设计”发起方之一，在北方地区及地方建筑类院校中具有较高的学科声誉和影响力。</w:t>
      </w:r>
      <w:r>
        <w:rPr>
          <w:rFonts w:hint="eastAsia" w:ascii="宋体" w:hAnsi="宋体"/>
          <w:szCs w:val="28"/>
        </w:rPr>
        <w:t>近两年，学院积极支持和鼓励城乡规划研究生参加各类科技竞赛、论文竞赛、工作坊等，在城乡规划系教师的指导下，研究生科研立项与竞赛获奖数量不断增加，共计获奖</w:t>
      </w:r>
      <w:r>
        <w:rPr>
          <w:rFonts w:ascii="宋体" w:hAnsi="宋体"/>
          <w:szCs w:val="28"/>
        </w:rPr>
        <w:t>50余项，其中WUPENiCity城市可持续调研报告国际竞赛</w:t>
      </w:r>
      <w:r>
        <w:rPr>
          <w:rFonts w:hint="eastAsia" w:ascii="宋体" w:hAnsi="宋体"/>
          <w:szCs w:val="28"/>
        </w:rPr>
        <w:t>二等奖</w:t>
      </w:r>
      <w:r>
        <w:rPr>
          <w:rFonts w:ascii="宋体" w:hAnsi="宋体"/>
          <w:szCs w:val="28"/>
        </w:rPr>
        <w:t>5项以及国家与省部级大学生创新创业项目多项。</w:t>
      </w:r>
    </w:p>
    <w:p w14:paraId="15A31AE7">
      <w:pPr>
        <w:pStyle w:val="4"/>
      </w:pPr>
      <w:r>
        <w:t>3.7论文质量</w:t>
      </w:r>
    </w:p>
    <w:p w14:paraId="760E9631">
      <w:pPr>
        <w:spacing w:line="360" w:lineRule="auto"/>
        <w:ind w:firstLine="560" w:firstLineChars="200"/>
        <w:rPr>
          <w:rFonts w:ascii="宋体" w:hAnsi="宋体"/>
          <w:szCs w:val="28"/>
        </w:rPr>
      </w:pPr>
      <w:r>
        <w:rPr>
          <w:rFonts w:hint="eastAsia" w:ascii="宋体" w:hAnsi="宋体"/>
          <w:szCs w:val="28"/>
        </w:rPr>
        <w:t>在二年级开始的论文准备阶段，文献综述和论文选题是学术研究的重要一环。一般由导师与研究生多次讨论，选择恰当的论题，并确定论文框架；由研究生查阅资料后，完成选题报告。开题报告在学院组织的开题会上讨论通过，对未能达到开题要求的需修改后重新开题。开题后，开始调研、资料收集、撰写论文。在论文撰写期间，导师把握课题方向、学术水平、方法论等原则问题，并给予经常性指导。在论文的开题、调研、资料收集和论文撰写中，培养了研究生独立思考，科学钻研，综合分析和敢于创新的能力。学校规定研究生答辩前，必须公开发表论文或在专业学术会议、研究生学术论坛上提交论文。</w:t>
      </w:r>
    </w:p>
    <w:p w14:paraId="495DA921">
      <w:pPr>
        <w:spacing w:line="360" w:lineRule="auto"/>
        <w:ind w:firstLine="560" w:firstLineChars="200"/>
        <w:rPr>
          <w:rFonts w:ascii="宋体" w:hAnsi="宋体"/>
          <w:szCs w:val="28"/>
        </w:rPr>
      </w:pPr>
      <w:r>
        <w:rPr>
          <w:rFonts w:hint="eastAsia" w:ascii="宋体" w:hAnsi="宋体"/>
          <w:szCs w:val="28"/>
        </w:rPr>
        <w:t>论文答辩须通过答辩资格审查，采取盲审、评阅、答辩的形式，并依据《天津城建大学硕士研究生学位论文答辩工作规定》</w:t>
      </w:r>
      <w:r>
        <w:rPr>
          <w:rFonts w:hint="eastAsia" w:ascii="宋体" w:hAnsi="宋体"/>
          <w:szCs w:val="28"/>
          <w:lang w:eastAsia="zh-CN"/>
        </w:rPr>
        <w:t>、</w:t>
      </w:r>
      <w:r>
        <w:rPr>
          <w:rFonts w:hint="eastAsia" w:ascii="宋体" w:hAnsi="宋体"/>
          <w:szCs w:val="28"/>
        </w:rPr>
        <w:t>《天津城建大学硕士研究生学位论文学术不端行为检测暂行规定》等文件开展工作。</w:t>
      </w:r>
    </w:p>
    <w:p w14:paraId="3FB40B6C">
      <w:pPr>
        <w:spacing w:line="360" w:lineRule="auto"/>
        <w:ind w:firstLine="560" w:firstLineChars="200"/>
        <w:rPr>
          <w:rFonts w:ascii="宋体" w:hAnsi="宋体"/>
          <w:szCs w:val="28"/>
        </w:rPr>
      </w:pPr>
      <w:r>
        <w:rPr>
          <w:rFonts w:hint="eastAsia" w:ascii="宋体" w:hAnsi="宋体"/>
          <w:szCs w:val="28"/>
        </w:rPr>
        <w:t>论文评阅或盲审通过的研究生可申请答辩。答辩委员会由校内外具有高级职称的专家</w:t>
      </w:r>
      <w:r>
        <w:rPr>
          <w:rFonts w:ascii="宋体" w:hAnsi="宋体"/>
          <w:szCs w:val="28"/>
        </w:rPr>
        <w:t>3-5人组成，答辩通过后，须经学院学位委员会审查，通过后报请学校学位委员会审批，方能授予学位。此外，为保证学位论文的完成质量，研究生部及学院对学位论文的开题、中期检查、写作及答辩工作的时间、任务与要求等均有文件规定，由研究生部及学院统一检查。</w:t>
      </w:r>
    </w:p>
    <w:p w14:paraId="15460F8D">
      <w:pPr>
        <w:spacing w:line="360" w:lineRule="auto"/>
        <w:ind w:firstLine="560" w:firstLineChars="200"/>
        <w:rPr>
          <w:rFonts w:ascii="宋体" w:hAnsi="宋体"/>
          <w:szCs w:val="28"/>
        </w:rPr>
      </w:pPr>
      <w:r>
        <w:rPr>
          <w:rFonts w:hint="eastAsia" w:ascii="宋体" w:hAnsi="宋体"/>
          <w:szCs w:val="28"/>
        </w:rPr>
        <w:t>本学位点2022年学位论文盲审1</w:t>
      </w:r>
      <w:r>
        <w:rPr>
          <w:rFonts w:ascii="宋体" w:hAnsi="宋体"/>
          <w:szCs w:val="28"/>
        </w:rPr>
        <w:t>00</w:t>
      </w:r>
      <w:r>
        <w:rPr>
          <w:rFonts w:hint="eastAsia" w:ascii="宋体" w:hAnsi="宋体"/>
          <w:szCs w:val="28"/>
        </w:rPr>
        <w:t>%</w:t>
      </w:r>
      <w:r>
        <w:rPr>
          <w:rFonts w:ascii="宋体" w:hAnsi="宋体"/>
          <w:szCs w:val="28"/>
        </w:rPr>
        <w:t>通过</w:t>
      </w:r>
      <w:r>
        <w:rPr>
          <w:rFonts w:hint="eastAsia" w:ascii="宋体" w:hAnsi="宋体"/>
          <w:szCs w:val="28"/>
        </w:rPr>
        <w:t>，在各类论文抽检、评审中的情况良好。</w:t>
      </w:r>
    </w:p>
    <w:p w14:paraId="57323B9B">
      <w:pPr>
        <w:pStyle w:val="4"/>
      </w:pPr>
      <w:r>
        <w:t>3.8质量保证</w:t>
      </w:r>
    </w:p>
    <w:p w14:paraId="773C2900">
      <w:pPr>
        <w:spacing w:line="360" w:lineRule="auto"/>
        <w:ind w:firstLine="560" w:firstLineChars="200"/>
        <w:rPr>
          <w:rFonts w:ascii="宋体" w:hAnsi="宋体"/>
          <w:szCs w:val="28"/>
        </w:rPr>
      </w:pPr>
      <w:r>
        <w:rPr>
          <w:rFonts w:hint="eastAsia" w:ascii="宋体" w:hAnsi="宋体"/>
          <w:szCs w:val="28"/>
        </w:rPr>
        <w:t>研究生处成立了学位与研究生教学督导小组，从研究生的招生、培养、学位论文工作、学科建设工作，到研究生的日程管理环节都要进行督导，从而保证了教学质量与研究生培养环节的严谨性，加强对研究生培养全过程的监控。</w:t>
      </w:r>
    </w:p>
    <w:p w14:paraId="79551843">
      <w:pPr>
        <w:spacing w:line="360" w:lineRule="auto"/>
        <w:ind w:firstLine="560" w:firstLineChars="200"/>
        <w:rPr>
          <w:rFonts w:ascii="宋体" w:hAnsi="宋体"/>
          <w:szCs w:val="28"/>
        </w:rPr>
      </w:pPr>
      <w:r>
        <w:rPr>
          <w:rFonts w:hint="eastAsia" w:ascii="宋体" w:hAnsi="宋体"/>
          <w:szCs w:val="28"/>
        </w:rPr>
        <w:t>为了全面培养学生的科学研究能力，城乡规划系硕士研究生第一、二学期完成研究生理论课学习，第三学期导师制定学位论文研究工作计划，学院统一组织开题报告，经学科团队评议通过后方能实施。第四学期学院统一组织中期考核，对研究生各方面培养情况进行综合评价。城乡规划系硕士研究生用于论文写作的时间不少于</w:t>
      </w:r>
      <w:r>
        <w:rPr>
          <w:rFonts w:ascii="宋体" w:hAnsi="宋体"/>
          <w:szCs w:val="28"/>
        </w:rPr>
        <w:t>1.5年，在完成毕业论文写作后，应在答辩前2个月将论文提交至学院，由学院统一组织对论文进行评阅或盲审。</w:t>
      </w:r>
    </w:p>
    <w:p w14:paraId="050A8622">
      <w:pPr>
        <w:spacing w:line="360" w:lineRule="auto"/>
        <w:ind w:firstLine="560" w:firstLineChars="200"/>
        <w:rPr>
          <w:rFonts w:ascii="宋体" w:hAnsi="宋体"/>
          <w:szCs w:val="28"/>
        </w:rPr>
      </w:pPr>
      <w:r>
        <w:rPr>
          <w:rFonts w:hint="eastAsia" w:ascii="宋体" w:hAnsi="宋体"/>
          <w:szCs w:val="28"/>
        </w:rPr>
        <w:t>（1）</w:t>
      </w:r>
      <w:r>
        <w:rPr>
          <w:rFonts w:ascii="宋体" w:hAnsi="宋体"/>
          <w:szCs w:val="28"/>
        </w:rPr>
        <w:t>学位论文要求</w:t>
      </w:r>
    </w:p>
    <w:p w14:paraId="03F2C53F">
      <w:pPr>
        <w:spacing w:line="360" w:lineRule="auto"/>
        <w:ind w:firstLine="560" w:firstLineChars="200"/>
        <w:rPr>
          <w:rFonts w:ascii="宋体" w:hAnsi="宋体"/>
          <w:szCs w:val="28"/>
        </w:rPr>
      </w:pPr>
      <w:r>
        <w:rPr>
          <w:rFonts w:ascii="宋体" w:hAnsi="宋体"/>
          <w:szCs w:val="28"/>
        </w:rPr>
        <w:t>硕士研究生学位论文应在导师指导下，独立完成。论文结构按照《天津城建大学硕士研究生论文管理规定》要求执行。</w:t>
      </w:r>
    </w:p>
    <w:p w14:paraId="64E820EA">
      <w:pPr>
        <w:spacing w:line="360" w:lineRule="auto"/>
        <w:ind w:firstLine="560" w:firstLineChars="200"/>
        <w:rPr>
          <w:rFonts w:ascii="宋体" w:hAnsi="宋体"/>
          <w:szCs w:val="28"/>
        </w:rPr>
      </w:pPr>
      <w:r>
        <w:rPr>
          <w:rFonts w:hint="eastAsia" w:ascii="宋体" w:hAnsi="宋体"/>
          <w:szCs w:val="28"/>
        </w:rPr>
        <w:t>（2）</w:t>
      </w:r>
      <w:r>
        <w:rPr>
          <w:rFonts w:ascii="宋体" w:hAnsi="宋体"/>
          <w:szCs w:val="28"/>
        </w:rPr>
        <w:t>论文过程管理</w:t>
      </w:r>
    </w:p>
    <w:p w14:paraId="2473209C">
      <w:pPr>
        <w:spacing w:line="360" w:lineRule="auto"/>
        <w:ind w:firstLine="560" w:firstLineChars="200"/>
        <w:rPr>
          <w:rFonts w:ascii="宋体" w:hAnsi="宋体"/>
          <w:szCs w:val="28"/>
        </w:rPr>
      </w:pPr>
      <w:r>
        <w:rPr>
          <w:rFonts w:ascii="宋体" w:hAnsi="宋体"/>
          <w:szCs w:val="28"/>
        </w:rPr>
        <w:t>学位论文包括开题、中期检查、预答辩以及答辩等环节。</w:t>
      </w:r>
    </w:p>
    <w:p w14:paraId="6B7BF771">
      <w:pPr>
        <w:spacing w:line="360" w:lineRule="auto"/>
        <w:ind w:firstLine="560" w:firstLineChars="200"/>
        <w:rPr>
          <w:rFonts w:ascii="宋体" w:hAnsi="宋体"/>
          <w:szCs w:val="28"/>
        </w:rPr>
      </w:pPr>
      <w:r>
        <w:rPr>
          <w:rFonts w:hint="eastAsia" w:ascii="宋体" w:hAnsi="宋体"/>
          <w:szCs w:val="28"/>
        </w:rPr>
        <w:t>①</w:t>
      </w:r>
      <w:r>
        <w:rPr>
          <w:rFonts w:ascii="宋体" w:hAnsi="宋体"/>
          <w:szCs w:val="28"/>
        </w:rPr>
        <w:t>开题</w:t>
      </w:r>
    </w:p>
    <w:p w14:paraId="46444C88">
      <w:pPr>
        <w:spacing w:line="360" w:lineRule="auto"/>
        <w:ind w:firstLine="560" w:firstLineChars="200"/>
        <w:rPr>
          <w:rFonts w:ascii="宋体" w:hAnsi="宋体"/>
          <w:szCs w:val="28"/>
        </w:rPr>
      </w:pPr>
      <w:r>
        <w:rPr>
          <w:rFonts w:ascii="宋体" w:hAnsi="宋体"/>
          <w:szCs w:val="28"/>
        </w:rPr>
        <w:t>论文的选题和所研究的内容应符合本学科研究方向，应具有理论意义或实用价值。应举行论文开题报告会，由有关专家集中审议研究生论文选题，并依据《天津城建大学硕士研究生培养管理规定》和《建筑学院硕士研究生开题报告资格审查与程序的相关规定》开展工作。</w:t>
      </w:r>
    </w:p>
    <w:p w14:paraId="7B13186E">
      <w:pPr>
        <w:spacing w:line="360" w:lineRule="auto"/>
        <w:ind w:firstLine="560" w:firstLineChars="200"/>
        <w:rPr>
          <w:rFonts w:ascii="宋体" w:hAnsi="宋体"/>
          <w:szCs w:val="28"/>
        </w:rPr>
      </w:pPr>
      <w:r>
        <w:rPr>
          <w:rFonts w:hint="eastAsia" w:ascii="宋体" w:hAnsi="宋体"/>
          <w:szCs w:val="28"/>
        </w:rPr>
        <w:t>②</w:t>
      </w:r>
      <w:r>
        <w:rPr>
          <w:rFonts w:ascii="宋体" w:hAnsi="宋体"/>
          <w:szCs w:val="28"/>
        </w:rPr>
        <w:t>中期检查</w:t>
      </w:r>
    </w:p>
    <w:p w14:paraId="4E531325">
      <w:pPr>
        <w:spacing w:line="360" w:lineRule="auto"/>
        <w:ind w:firstLine="560" w:firstLineChars="200"/>
        <w:rPr>
          <w:rFonts w:ascii="宋体" w:hAnsi="宋体"/>
          <w:szCs w:val="28"/>
        </w:rPr>
      </w:pPr>
      <w:r>
        <w:rPr>
          <w:rFonts w:ascii="宋体" w:hAnsi="宋体"/>
          <w:szCs w:val="28"/>
        </w:rPr>
        <w:t>论文须进行中期检查，提交“论文中期检查报告”，并依据《天津城建大学硕士研究生中期考核规定》</w:t>
      </w:r>
      <w:r>
        <w:rPr>
          <w:rFonts w:hint="eastAsia" w:ascii="宋体" w:hAnsi="宋体"/>
          <w:szCs w:val="28"/>
          <w:lang w:eastAsia="zh-CN"/>
        </w:rPr>
        <w:t>、</w:t>
      </w:r>
      <w:r>
        <w:rPr>
          <w:rFonts w:ascii="宋体" w:hAnsi="宋体"/>
          <w:szCs w:val="28"/>
        </w:rPr>
        <w:t>《建筑学院硕士研究生中期检查规定》开展工作。</w:t>
      </w:r>
    </w:p>
    <w:p w14:paraId="1ED5EAE4">
      <w:pPr>
        <w:spacing w:line="360" w:lineRule="auto"/>
        <w:ind w:firstLine="560" w:firstLineChars="200"/>
        <w:rPr>
          <w:rFonts w:ascii="宋体" w:hAnsi="宋体"/>
          <w:szCs w:val="28"/>
        </w:rPr>
      </w:pPr>
      <w:r>
        <w:rPr>
          <w:rFonts w:hint="eastAsia" w:ascii="宋体" w:hAnsi="宋体"/>
          <w:szCs w:val="28"/>
        </w:rPr>
        <w:t>③</w:t>
      </w:r>
      <w:r>
        <w:rPr>
          <w:rFonts w:ascii="宋体" w:hAnsi="宋体"/>
          <w:szCs w:val="28"/>
        </w:rPr>
        <w:t>预答辩</w:t>
      </w:r>
    </w:p>
    <w:p w14:paraId="0ABBF70B">
      <w:pPr>
        <w:spacing w:line="360" w:lineRule="auto"/>
        <w:ind w:firstLine="560" w:firstLineChars="200"/>
        <w:rPr>
          <w:rFonts w:ascii="宋体" w:hAnsi="宋体"/>
          <w:szCs w:val="28"/>
        </w:rPr>
      </w:pPr>
      <w:r>
        <w:rPr>
          <w:rFonts w:ascii="宋体" w:hAnsi="宋体"/>
          <w:szCs w:val="28"/>
        </w:rPr>
        <w:t>论文预答辩，采取评阅、答辩的形式，并依据《建筑学院硕士研究生学位论文答辩工作规定》开展工作。</w:t>
      </w:r>
    </w:p>
    <w:p w14:paraId="62C09325">
      <w:pPr>
        <w:spacing w:line="360" w:lineRule="auto"/>
        <w:ind w:firstLine="560" w:firstLineChars="200"/>
        <w:rPr>
          <w:rFonts w:ascii="宋体" w:hAnsi="宋体"/>
          <w:szCs w:val="28"/>
        </w:rPr>
      </w:pPr>
      <w:r>
        <w:rPr>
          <w:rFonts w:hint="eastAsia" w:ascii="宋体" w:hAnsi="宋体"/>
          <w:szCs w:val="28"/>
        </w:rPr>
        <w:t>④</w:t>
      </w:r>
      <w:r>
        <w:rPr>
          <w:rFonts w:ascii="宋体" w:hAnsi="宋体"/>
          <w:szCs w:val="28"/>
        </w:rPr>
        <w:t>答辩</w:t>
      </w:r>
    </w:p>
    <w:p w14:paraId="0684082D">
      <w:pPr>
        <w:spacing w:line="360" w:lineRule="auto"/>
        <w:ind w:firstLine="560" w:firstLineChars="200"/>
        <w:rPr>
          <w:rFonts w:ascii="宋体" w:hAnsi="宋体"/>
          <w:szCs w:val="28"/>
        </w:rPr>
      </w:pPr>
      <w:r>
        <w:rPr>
          <w:rFonts w:ascii="宋体" w:hAnsi="宋体"/>
          <w:szCs w:val="28"/>
        </w:rPr>
        <w:t>论文答辩须通过答辩资格审查，采取盲审、评阅、答辩的形式，并依据《天津城建大学硕士研究生学位论文答辩工作规定》</w:t>
      </w:r>
      <w:r>
        <w:rPr>
          <w:rFonts w:hint="eastAsia" w:ascii="宋体" w:hAnsi="宋体"/>
          <w:szCs w:val="28"/>
          <w:lang w:eastAsia="zh-CN"/>
        </w:rPr>
        <w:t>、</w:t>
      </w:r>
      <w:r>
        <w:rPr>
          <w:rFonts w:ascii="宋体" w:hAnsi="宋体"/>
          <w:szCs w:val="28"/>
        </w:rPr>
        <w:t>《天津城建大学硕士研究生学位论文学术不端行为检测暂行规定》和《建筑学院硕士研究生学位论文答辩工作规定》等文件开展工作。</w:t>
      </w:r>
    </w:p>
    <w:p w14:paraId="03E0E62A">
      <w:pPr>
        <w:pStyle w:val="4"/>
      </w:pPr>
      <w:r>
        <w:rPr>
          <w:rFonts w:hint="eastAsia"/>
        </w:rPr>
        <w:t>3</w:t>
      </w:r>
      <w:r>
        <w:t>.9学风建设</w:t>
      </w:r>
    </w:p>
    <w:p w14:paraId="0738B60E">
      <w:pPr>
        <w:spacing w:line="360" w:lineRule="auto"/>
        <w:ind w:firstLine="560" w:firstLineChars="200"/>
        <w:rPr>
          <w:rFonts w:ascii="宋体" w:hAnsi="宋体"/>
          <w:szCs w:val="28"/>
        </w:rPr>
      </w:pPr>
      <w:r>
        <w:rPr>
          <w:rFonts w:hint="eastAsia" w:ascii="宋体" w:hAnsi="宋体"/>
          <w:szCs w:val="28"/>
        </w:rPr>
        <w:t>长期以来，学校把科学道德和学术规范建设融入教学、科研、管理、服务之中，制定了《天津城建大学关于进一步加强和改进研究生思想政治教育工作的实施意见》</w:t>
      </w:r>
      <w:r>
        <w:rPr>
          <w:rFonts w:hint="eastAsia" w:ascii="宋体" w:hAnsi="宋体"/>
          <w:szCs w:val="28"/>
          <w:lang w:eastAsia="zh-CN"/>
        </w:rPr>
        <w:t>、</w:t>
      </w:r>
      <w:r>
        <w:rPr>
          <w:rFonts w:hint="eastAsia" w:ascii="宋体" w:hAnsi="宋体"/>
          <w:szCs w:val="28"/>
        </w:rPr>
        <w:t>《天津城建大学预防与处理学术不端行为实施细则》等相关管理文件</w:t>
      </w:r>
      <w:r>
        <w:rPr>
          <w:rFonts w:ascii="宋体" w:hAnsi="宋体"/>
          <w:szCs w:val="28"/>
        </w:rPr>
        <w:t>，明确以思想道德和行为养成教育为基础，</w:t>
      </w:r>
      <w:r>
        <w:rPr>
          <w:rFonts w:hint="eastAsia" w:ascii="宋体" w:hAnsi="宋体"/>
          <w:szCs w:val="28"/>
        </w:rPr>
        <w:t>进一步推进我校学术道德和学风建设，强化学术诚信和学术自律意识，正确引导学术规范行为，促进学术繁荣。</w:t>
      </w:r>
    </w:p>
    <w:p w14:paraId="1C8047F9">
      <w:pPr>
        <w:spacing w:line="360" w:lineRule="auto"/>
        <w:ind w:firstLine="560" w:firstLineChars="200"/>
        <w:rPr>
          <w:rFonts w:ascii="宋体" w:hAnsi="宋体"/>
          <w:szCs w:val="28"/>
        </w:rPr>
      </w:pPr>
      <w:r>
        <w:rPr>
          <w:rFonts w:hint="eastAsia" w:ascii="宋体" w:hAnsi="宋体"/>
          <w:szCs w:val="28"/>
        </w:rPr>
        <w:t>本学位点组织开展内容丰富、形式多样的研究生教育和实践活动，促进研究生身心健康成长、全面发展，多年来未出现学术不端行为。以科学道德和学风建设为主题开展思想政治教育工作，通过新生入学教育等加强学术道德教育。积极组织开展研究生创新实践活动，努力营造争先创优的良好风气。大力表彰、宣传先进典型，积极发挥他们的激励示范作用，在研究生中营造争先创优的良好氛围。</w:t>
      </w:r>
    </w:p>
    <w:p w14:paraId="7EEA7A90">
      <w:pPr>
        <w:pStyle w:val="4"/>
        <w:rPr>
          <w:rFonts w:cs="Arial"/>
          <w:kern w:val="0"/>
        </w:rPr>
      </w:pPr>
      <w:r>
        <w:rPr>
          <w:rStyle w:val="17"/>
          <w:rFonts w:hint="eastAsia"/>
          <w:b/>
          <w:bCs w:val="0"/>
        </w:rPr>
        <w:t>3</w:t>
      </w:r>
      <w:r>
        <w:rPr>
          <w:rStyle w:val="17"/>
          <w:b/>
          <w:bCs w:val="0"/>
        </w:rPr>
        <w:t>.10</w:t>
      </w:r>
      <w:r>
        <w:rPr>
          <w:rStyle w:val="17"/>
          <w:rFonts w:hint="eastAsia"/>
          <w:b/>
          <w:bCs w:val="0"/>
        </w:rPr>
        <w:t>管理服务</w:t>
      </w:r>
    </w:p>
    <w:p w14:paraId="5A142F36">
      <w:pPr>
        <w:spacing w:line="360" w:lineRule="auto"/>
        <w:ind w:firstLine="560" w:firstLineChars="200"/>
        <w:rPr>
          <w:rFonts w:ascii="宋体" w:hAnsi="宋体"/>
          <w:szCs w:val="28"/>
        </w:rPr>
      </w:pPr>
      <w:r>
        <w:rPr>
          <w:rFonts w:hint="eastAsia" w:ascii="宋体" w:hAnsi="宋体"/>
          <w:szCs w:val="28"/>
        </w:rPr>
        <w:t>建筑学院现有教辅人员</w:t>
      </w:r>
      <w:r>
        <w:rPr>
          <w:rFonts w:ascii="宋体" w:hAnsi="宋体"/>
          <w:szCs w:val="28"/>
        </w:rPr>
        <w:t>9人，从事党务、行政、教务和学生的日常管理工作。教辅人员中具有硕士以上学位8人，高级职称3人。职工队伍素质良好、能力较强，工作尽职尽责，在学生成长成才过程中发挥了重要作用。</w:t>
      </w:r>
    </w:p>
    <w:p w14:paraId="60613324">
      <w:pPr>
        <w:spacing w:line="360" w:lineRule="auto"/>
        <w:ind w:firstLine="560" w:firstLineChars="200"/>
        <w:rPr>
          <w:rFonts w:ascii="宋体" w:hAnsi="宋体"/>
          <w:szCs w:val="28"/>
        </w:rPr>
      </w:pPr>
      <w:r>
        <w:rPr>
          <w:rFonts w:hint="eastAsia" w:ascii="宋体" w:hAnsi="宋体"/>
          <w:szCs w:val="28"/>
        </w:rPr>
        <w:t>为保证上述教学安排的有效实施和人才培养质量，城乡规划系先后制定了一系列教学管理文件，如《天津城建大学硕士研究生培养管理规定》</w:t>
      </w:r>
      <w:r>
        <w:rPr>
          <w:rFonts w:hint="eastAsia" w:ascii="宋体" w:hAnsi="宋体"/>
          <w:szCs w:val="28"/>
          <w:lang w:eastAsia="zh-CN"/>
        </w:rPr>
        <w:t>、</w:t>
      </w:r>
      <w:r>
        <w:rPr>
          <w:rFonts w:hint="eastAsia" w:ascii="宋体" w:hAnsi="宋体"/>
          <w:szCs w:val="28"/>
        </w:rPr>
        <w:t>《建筑学院硕士研究生培养管理办法》</w:t>
      </w:r>
      <w:r>
        <w:rPr>
          <w:rFonts w:hint="eastAsia" w:ascii="宋体" w:hAnsi="宋体"/>
          <w:szCs w:val="28"/>
          <w:lang w:eastAsia="zh-CN"/>
        </w:rPr>
        <w:t>、</w:t>
      </w:r>
      <w:r>
        <w:rPr>
          <w:rFonts w:hint="eastAsia" w:ascii="宋体" w:hAnsi="宋体"/>
          <w:szCs w:val="28"/>
        </w:rPr>
        <w:t>《天津城建大学硕士研究生课程管理规定》</w:t>
      </w:r>
      <w:r>
        <w:rPr>
          <w:rFonts w:hint="eastAsia" w:ascii="宋体" w:hAnsi="宋体"/>
          <w:szCs w:val="28"/>
          <w:lang w:eastAsia="zh-CN"/>
        </w:rPr>
        <w:t>、</w:t>
      </w:r>
      <w:r>
        <w:rPr>
          <w:rFonts w:hint="eastAsia" w:ascii="宋体" w:hAnsi="宋体"/>
          <w:szCs w:val="28"/>
        </w:rPr>
        <w:t>《建筑学院硕士研究生开题报告资格审查与程序的相关规定》</w:t>
      </w:r>
      <w:r>
        <w:rPr>
          <w:rFonts w:hint="eastAsia" w:ascii="宋体" w:hAnsi="宋体"/>
          <w:szCs w:val="28"/>
          <w:lang w:eastAsia="zh-CN"/>
        </w:rPr>
        <w:t>、</w:t>
      </w:r>
      <w:r>
        <w:rPr>
          <w:rFonts w:hint="eastAsia" w:ascii="宋体" w:hAnsi="宋体"/>
          <w:szCs w:val="28"/>
        </w:rPr>
        <w:t>《建筑学院硕士研究生中期检查规定》</w:t>
      </w:r>
      <w:r>
        <w:rPr>
          <w:rFonts w:hint="eastAsia" w:ascii="宋体" w:hAnsi="宋体"/>
          <w:szCs w:val="28"/>
          <w:lang w:eastAsia="zh-CN"/>
        </w:rPr>
        <w:t>、</w:t>
      </w:r>
      <w:r>
        <w:rPr>
          <w:rFonts w:hint="eastAsia" w:ascii="宋体" w:hAnsi="宋体"/>
          <w:szCs w:val="28"/>
        </w:rPr>
        <w:t>《建筑学院硕士研究生社会实践课程管理办法》以及《天津城建大学硕士研究生学位授予管理办法》</w:t>
      </w:r>
      <w:r>
        <w:rPr>
          <w:rFonts w:hint="eastAsia" w:ascii="宋体" w:hAnsi="宋体"/>
          <w:szCs w:val="28"/>
          <w:lang w:eastAsia="zh-CN"/>
        </w:rPr>
        <w:t>、</w:t>
      </w:r>
      <w:r>
        <w:rPr>
          <w:rFonts w:hint="eastAsia" w:ascii="宋体" w:hAnsi="宋体"/>
          <w:szCs w:val="28"/>
        </w:rPr>
        <w:t>《建筑学院硕士研究生学位论文答辩工作规定》等。</w:t>
      </w:r>
    </w:p>
    <w:p w14:paraId="5B83B34D">
      <w:pPr>
        <w:spacing w:line="360" w:lineRule="auto"/>
        <w:ind w:firstLine="560" w:firstLineChars="200"/>
        <w:rPr>
          <w:rFonts w:ascii="宋体" w:hAnsi="宋体"/>
          <w:szCs w:val="28"/>
        </w:rPr>
      </w:pPr>
      <w:r>
        <w:rPr>
          <w:rFonts w:hint="eastAsia" w:ascii="宋体" w:hAnsi="宋体"/>
          <w:szCs w:val="28"/>
        </w:rPr>
        <w:t>严格落实相关办学思路和教学计划，注重研究生培养的过程性管控，不断完善研究生教学管理体制机制建设。针对研究生培养过程中的具体问题，开展系统性分析和专题研究，完善解决方案和实施路径。努力探索复试、预答辩、论文送审等研究生培养不同环节、阶段管理机制的创新，确保培养方案得到良好实施。</w:t>
      </w:r>
    </w:p>
    <w:p w14:paraId="48C81045">
      <w:pPr>
        <w:pStyle w:val="4"/>
      </w:pPr>
      <w:r>
        <w:rPr>
          <w:rFonts w:hint="eastAsia"/>
        </w:rPr>
        <w:t>3</w:t>
      </w:r>
      <w:r>
        <w:t>.11</w:t>
      </w:r>
      <w:r>
        <w:rPr>
          <w:rFonts w:hint="eastAsia"/>
        </w:rPr>
        <w:t>就业发展</w:t>
      </w:r>
    </w:p>
    <w:p w14:paraId="63088991">
      <w:pPr>
        <w:widowControl/>
        <w:shd w:val="clear" w:color="auto" w:fill="FFFFFF"/>
        <w:ind w:firstLine="560" w:firstLineChars="200"/>
        <w:jc w:val="left"/>
        <w:rPr>
          <w:rFonts w:ascii="宋体" w:hAnsi="宋体"/>
        </w:rPr>
      </w:pPr>
      <w:r>
        <w:rPr>
          <w:rFonts w:ascii="宋体" w:hAnsi="宋体"/>
        </w:rPr>
        <w:t>2022年毕业研究生9名，获得学位授予9名，就业率达到100%，且就业质量较好，多为行政、事业或国企单位。高就业率一方面反映出社会对学校人才培养的认同，同时也体现了本学位点人才培养与社会需求的紧密关联。2022年本学位点学生就业情况见表</w:t>
      </w:r>
      <w:r>
        <w:rPr>
          <w:rFonts w:hint="eastAsia" w:ascii="宋体" w:hAnsi="宋体"/>
        </w:rPr>
        <w:t>3-</w:t>
      </w:r>
      <w:r>
        <w:rPr>
          <w:rFonts w:ascii="宋体" w:hAnsi="宋体"/>
        </w:rPr>
        <w:t>3、表</w:t>
      </w:r>
      <w:r>
        <w:rPr>
          <w:rFonts w:hint="eastAsia" w:ascii="宋体" w:hAnsi="宋体"/>
        </w:rPr>
        <w:t>3-</w:t>
      </w:r>
      <w:r>
        <w:rPr>
          <w:rFonts w:ascii="宋体" w:hAnsi="宋体"/>
        </w:rPr>
        <w:t>4。</w:t>
      </w:r>
    </w:p>
    <w:p w14:paraId="08B6169D">
      <w:pPr>
        <w:autoSpaceDE w:val="0"/>
        <w:autoSpaceDN w:val="0"/>
        <w:spacing w:line="360" w:lineRule="auto"/>
        <w:ind w:firstLine="420" w:firstLineChars="200"/>
        <w:jc w:val="center"/>
        <w:rPr>
          <w:rFonts w:hint="eastAsia" w:ascii="Calibri" w:hAnsi="Calibri" w:cs="Times New Roman"/>
          <w:sz w:val="21"/>
          <w:szCs w:val="21"/>
        </w:rPr>
      </w:pPr>
      <w:r>
        <w:rPr>
          <w:rFonts w:hint="eastAsia" w:ascii="宋体" w:hAnsi="宋体" w:eastAsia="宋体" w:cs="宋体"/>
          <w:sz w:val="21"/>
          <w:szCs w:val="21"/>
        </w:rPr>
        <w:t>表3-3 签约单位类型分布</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2"/>
        <w:gridCol w:w="852"/>
        <w:gridCol w:w="852"/>
        <w:gridCol w:w="852"/>
        <w:gridCol w:w="852"/>
        <w:gridCol w:w="852"/>
        <w:gridCol w:w="852"/>
        <w:gridCol w:w="852"/>
        <w:gridCol w:w="855"/>
      </w:tblGrid>
      <w:tr w14:paraId="3656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jc w:val="center"/>
        </w:trPr>
        <w:tc>
          <w:tcPr>
            <w:tcW w:w="499" w:type="pct"/>
            <w:vAlign w:val="center"/>
          </w:tcPr>
          <w:p w14:paraId="2DA69515">
            <w:pPr>
              <w:autoSpaceDE w:val="0"/>
              <w:autoSpaceDN w:val="0"/>
              <w:jc w:val="center"/>
              <w:rPr>
                <w:rFonts w:hint="eastAsia" w:ascii="宋体" w:hAnsi="宋体" w:eastAsia="宋体" w:cs="宋体"/>
                <w:b/>
                <w:sz w:val="21"/>
                <w:szCs w:val="21"/>
              </w:rPr>
            </w:pPr>
            <w:r>
              <w:rPr>
                <w:rFonts w:hint="eastAsia" w:ascii="宋体" w:hAnsi="宋体" w:eastAsia="宋体" w:cs="宋体"/>
                <w:b/>
                <w:sz w:val="21"/>
                <w:szCs w:val="21"/>
              </w:rPr>
              <w:t>单位类别</w:t>
            </w:r>
          </w:p>
        </w:tc>
        <w:tc>
          <w:tcPr>
            <w:tcW w:w="499" w:type="pct"/>
            <w:vAlign w:val="center"/>
          </w:tcPr>
          <w:p w14:paraId="3DF2F2DB">
            <w:pPr>
              <w:autoSpaceDE w:val="0"/>
              <w:autoSpaceDN w:val="0"/>
              <w:jc w:val="center"/>
              <w:rPr>
                <w:rFonts w:hint="eastAsia" w:ascii="宋体" w:hAnsi="宋体" w:eastAsia="宋体" w:cs="宋体"/>
                <w:b/>
                <w:sz w:val="21"/>
                <w:szCs w:val="21"/>
              </w:rPr>
            </w:pPr>
            <w:r>
              <w:rPr>
                <w:rFonts w:hint="eastAsia" w:ascii="宋体" w:hAnsi="宋体" w:eastAsia="宋体" w:cs="宋体"/>
                <w:b/>
                <w:sz w:val="21"/>
                <w:szCs w:val="21"/>
              </w:rPr>
              <w:t>党政</w:t>
            </w:r>
          </w:p>
          <w:p w14:paraId="11BB3A6B">
            <w:pPr>
              <w:autoSpaceDE w:val="0"/>
              <w:autoSpaceDN w:val="0"/>
              <w:jc w:val="center"/>
              <w:rPr>
                <w:rFonts w:hint="eastAsia" w:ascii="宋体" w:hAnsi="宋体" w:eastAsia="宋体" w:cs="宋体"/>
                <w:b/>
                <w:sz w:val="21"/>
                <w:szCs w:val="21"/>
              </w:rPr>
            </w:pPr>
            <w:r>
              <w:rPr>
                <w:rFonts w:hint="eastAsia" w:ascii="宋体" w:hAnsi="宋体" w:eastAsia="宋体" w:cs="宋体"/>
                <w:b/>
                <w:sz w:val="21"/>
                <w:szCs w:val="21"/>
              </w:rPr>
              <w:t>机关</w:t>
            </w:r>
          </w:p>
        </w:tc>
        <w:tc>
          <w:tcPr>
            <w:tcW w:w="499" w:type="pct"/>
            <w:vAlign w:val="center"/>
          </w:tcPr>
          <w:p w14:paraId="1DE43A55">
            <w:pPr>
              <w:autoSpaceDE w:val="0"/>
              <w:autoSpaceDN w:val="0"/>
              <w:jc w:val="center"/>
              <w:rPr>
                <w:rFonts w:hint="eastAsia" w:ascii="宋体" w:hAnsi="宋体" w:eastAsia="宋体" w:cs="宋体"/>
                <w:b/>
                <w:sz w:val="21"/>
                <w:szCs w:val="21"/>
              </w:rPr>
            </w:pPr>
            <w:r>
              <w:rPr>
                <w:rFonts w:hint="eastAsia" w:ascii="宋体" w:hAnsi="宋体" w:eastAsia="宋体" w:cs="宋体"/>
                <w:b/>
                <w:sz w:val="21"/>
                <w:szCs w:val="21"/>
              </w:rPr>
              <w:t>高等教育单位</w:t>
            </w:r>
          </w:p>
        </w:tc>
        <w:tc>
          <w:tcPr>
            <w:tcW w:w="499" w:type="pct"/>
            <w:vAlign w:val="center"/>
          </w:tcPr>
          <w:p w14:paraId="1AE83D9F">
            <w:pPr>
              <w:autoSpaceDE w:val="0"/>
              <w:autoSpaceDN w:val="0"/>
              <w:jc w:val="center"/>
              <w:rPr>
                <w:rFonts w:hint="eastAsia" w:ascii="宋体" w:hAnsi="宋体" w:eastAsia="宋体" w:cs="宋体"/>
                <w:b/>
                <w:sz w:val="21"/>
                <w:szCs w:val="21"/>
              </w:rPr>
            </w:pPr>
            <w:r>
              <w:rPr>
                <w:rFonts w:hint="eastAsia" w:ascii="宋体" w:hAnsi="宋体" w:eastAsia="宋体" w:cs="宋体"/>
                <w:b/>
                <w:sz w:val="21"/>
                <w:szCs w:val="21"/>
              </w:rPr>
              <w:t>中初等教育单位</w:t>
            </w:r>
          </w:p>
        </w:tc>
        <w:tc>
          <w:tcPr>
            <w:tcW w:w="499" w:type="pct"/>
            <w:vAlign w:val="center"/>
          </w:tcPr>
          <w:p w14:paraId="00724C55">
            <w:pPr>
              <w:autoSpaceDE w:val="0"/>
              <w:autoSpaceDN w:val="0"/>
              <w:jc w:val="center"/>
              <w:rPr>
                <w:rFonts w:hint="eastAsia" w:ascii="宋体" w:hAnsi="宋体" w:eastAsia="宋体" w:cs="宋体"/>
                <w:b/>
                <w:sz w:val="21"/>
                <w:szCs w:val="21"/>
              </w:rPr>
            </w:pPr>
            <w:r>
              <w:rPr>
                <w:rFonts w:hint="eastAsia" w:ascii="宋体" w:hAnsi="宋体" w:eastAsia="宋体" w:cs="宋体"/>
                <w:b/>
                <w:sz w:val="21"/>
                <w:szCs w:val="21"/>
              </w:rPr>
              <w:t>医疗卫生单位</w:t>
            </w:r>
          </w:p>
        </w:tc>
        <w:tc>
          <w:tcPr>
            <w:tcW w:w="499" w:type="pct"/>
            <w:vAlign w:val="center"/>
          </w:tcPr>
          <w:p w14:paraId="339F32C1">
            <w:pPr>
              <w:autoSpaceDE w:val="0"/>
              <w:autoSpaceDN w:val="0"/>
              <w:jc w:val="center"/>
              <w:rPr>
                <w:rFonts w:hint="eastAsia" w:ascii="宋体" w:hAnsi="宋体" w:eastAsia="宋体" w:cs="宋体"/>
                <w:b/>
                <w:sz w:val="21"/>
                <w:szCs w:val="21"/>
              </w:rPr>
            </w:pPr>
            <w:r>
              <w:rPr>
                <w:rFonts w:hint="eastAsia" w:ascii="宋体" w:hAnsi="宋体" w:eastAsia="宋体" w:cs="宋体"/>
                <w:b/>
                <w:sz w:val="21"/>
                <w:szCs w:val="21"/>
              </w:rPr>
              <w:t>其他事业单位</w:t>
            </w:r>
          </w:p>
        </w:tc>
        <w:tc>
          <w:tcPr>
            <w:tcW w:w="499" w:type="pct"/>
            <w:vAlign w:val="center"/>
          </w:tcPr>
          <w:p w14:paraId="3713E468">
            <w:pPr>
              <w:autoSpaceDE w:val="0"/>
              <w:autoSpaceDN w:val="0"/>
              <w:jc w:val="center"/>
              <w:rPr>
                <w:rFonts w:hint="eastAsia" w:ascii="宋体" w:hAnsi="宋体" w:eastAsia="宋体" w:cs="宋体"/>
                <w:b/>
                <w:sz w:val="21"/>
                <w:szCs w:val="21"/>
              </w:rPr>
            </w:pPr>
            <w:r>
              <w:rPr>
                <w:rFonts w:hint="eastAsia" w:ascii="宋体" w:hAnsi="宋体" w:eastAsia="宋体" w:cs="宋体"/>
                <w:b/>
                <w:sz w:val="21"/>
                <w:szCs w:val="21"/>
              </w:rPr>
              <w:t>国有</w:t>
            </w:r>
          </w:p>
          <w:p w14:paraId="399D58CD">
            <w:pPr>
              <w:autoSpaceDE w:val="0"/>
              <w:autoSpaceDN w:val="0"/>
              <w:jc w:val="center"/>
              <w:rPr>
                <w:rFonts w:hint="eastAsia" w:ascii="宋体" w:hAnsi="宋体" w:eastAsia="宋体" w:cs="宋体"/>
                <w:b/>
                <w:sz w:val="21"/>
                <w:szCs w:val="21"/>
              </w:rPr>
            </w:pPr>
            <w:r>
              <w:rPr>
                <w:rFonts w:hint="eastAsia" w:ascii="宋体" w:hAnsi="宋体" w:eastAsia="宋体" w:cs="宋体"/>
                <w:b/>
                <w:sz w:val="21"/>
                <w:szCs w:val="21"/>
              </w:rPr>
              <w:t>企业</w:t>
            </w:r>
          </w:p>
        </w:tc>
        <w:tc>
          <w:tcPr>
            <w:tcW w:w="499" w:type="pct"/>
            <w:vAlign w:val="center"/>
          </w:tcPr>
          <w:p w14:paraId="44EDD7E8">
            <w:pPr>
              <w:autoSpaceDE w:val="0"/>
              <w:autoSpaceDN w:val="0"/>
              <w:jc w:val="center"/>
              <w:rPr>
                <w:rFonts w:hint="eastAsia" w:ascii="宋体" w:hAnsi="宋体" w:eastAsia="宋体" w:cs="宋体"/>
                <w:b/>
                <w:sz w:val="21"/>
                <w:szCs w:val="21"/>
              </w:rPr>
            </w:pPr>
            <w:r>
              <w:rPr>
                <w:rFonts w:hint="eastAsia" w:ascii="宋体" w:hAnsi="宋体" w:eastAsia="宋体" w:cs="宋体"/>
                <w:b/>
                <w:sz w:val="21"/>
                <w:szCs w:val="21"/>
              </w:rPr>
              <w:t>民营</w:t>
            </w:r>
          </w:p>
          <w:p w14:paraId="6170DF27">
            <w:pPr>
              <w:autoSpaceDE w:val="0"/>
              <w:autoSpaceDN w:val="0"/>
              <w:jc w:val="center"/>
              <w:rPr>
                <w:rFonts w:hint="eastAsia" w:ascii="宋体" w:hAnsi="宋体" w:eastAsia="宋体" w:cs="宋体"/>
                <w:b/>
                <w:sz w:val="21"/>
                <w:szCs w:val="21"/>
              </w:rPr>
            </w:pPr>
            <w:r>
              <w:rPr>
                <w:rFonts w:hint="eastAsia" w:ascii="宋体" w:hAnsi="宋体" w:eastAsia="宋体" w:cs="宋体"/>
                <w:b/>
                <w:sz w:val="21"/>
                <w:szCs w:val="21"/>
              </w:rPr>
              <w:t>企业</w:t>
            </w:r>
          </w:p>
        </w:tc>
        <w:tc>
          <w:tcPr>
            <w:tcW w:w="499" w:type="pct"/>
            <w:vAlign w:val="center"/>
          </w:tcPr>
          <w:p w14:paraId="7657CAA3">
            <w:pPr>
              <w:autoSpaceDE w:val="0"/>
              <w:autoSpaceDN w:val="0"/>
              <w:jc w:val="center"/>
              <w:rPr>
                <w:rFonts w:hint="eastAsia" w:ascii="宋体" w:hAnsi="宋体" w:eastAsia="宋体" w:cs="宋体"/>
                <w:b/>
                <w:sz w:val="21"/>
                <w:szCs w:val="21"/>
              </w:rPr>
            </w:pPr>
            <w:r>
              <w:rPr>
                <w:rFonts w:hint="eastAsia" w:ascii="宋体" w:hAnsi="宋体" w:eastAsia="宋体" w:cs="宋体"/>
                <w:b/>
                <w:sz w:val="21"/>
                <w:szCs w:val="21"/>
              </w:rPr>
              <w:t>三资企业</w:t>
            </w:r>
          </w:p>
        </w:tc>
        <w:tc>
          <w:tcPr>
            <w:tcW w:w="501" w:type="pct"/>
            <w:vAlign w:val="center"/>
          </w:tcPr>
          <w:p w14:paraId="32FBC812">
            <w:pPr>
              <w:autoSpaceDE w:val="0"/>
              <w:autoSpaceDN w:val="0"/>
              <w:jc w:val="center"/>
              <w:rPr>
                <w:rFonts w:hint="eastAsia" w:ascii="宋体" w:hAnsi="宋体" w:eastAsia="宋体" w:cs="宋体"/>
                <w:b/>
                <w:sz w:val="21"/>
                <w:szCs w:val="21"/>
              </w:rPr>
            </w:pPr>
            <w:r>
              <w:rPr>
                <w:rFonts w:hint="eastAsia" w:ascii="宋体" w:hAnsi="宋体" w:eastAsia="宋体" w:cs="宋体"/>
                <w:b/>
                <w:sz w:val="21"/>
                <w:szCs w:val="21"/>
              </w:rPr>
              <w:t>其他</w:t>
            </w:r>
          </w:p>
        </w:tc>
      </w:tr>
      <w:tr w14:paraId="2ABF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99" w:type="pct"/>
            <w:vAlign w:val="center"/>
          </w:tcPr>
          <w:p w14:paraId="60856FCD">
            <w:pPr>
              <w:autoSpaceDE w:val="0"/>
              <w:autoSpaceDN w:val="0"/>
              <w:jc w:val="center"/>
              <w:rPr>
                <w:rFonts w:hint="eastAsia" w:ascii="宋体" w:hAnsi="宋体" w:eastAsia="宋体" w:cs="宋体"/>
                <w:sz w:val="21"/>
                <w:szCs w:val="21"/>
              </w:rPr>
            </w:pPr>
            <w:r>
              <w:rPr>
                <w:rFonts w:hint="eastAsia" w:ascii="宋体" w:hAnsi="宋体" w:eastAsia="宋体" w:cs="宋体"/>
                <w:sz w:val="21"/>
                <w:szCs w:val="21"/>
              </w:rPr>
              <w:t>硕士签约</w:t>
            </w:r>
          </w:p>
        </w:tc>
        <w:tc>
          <w:tcPr>
            <w:tcW w:w="499" w:type="pct"/>
            <w:vAlign w:val="center"/>
          </w:tcPr>
          <w:p w14:paraId="12B93531">
            <w:pPr>
              <w:autoSpaceDE w:val="0"/>
              <w:autoSpaceDN w:val="0"/>
              <w:jc w:val="center"/>
              <w:rPr>
                <w:rFonts w:hint="eastAsia" w:ascii="宋体" w:hAnsi="宋体" w:eastAsia="宋体" w:cs="宋体"/>
                <w:sz w:val="21"/>
                <w:szCs w:val="21"/>
              </w:rPr>
            </w:pPr>
            <w:r>
              <w:rPr>
                <w:rFonts w:hint="eastAsia" w:ascii="宋体" w:hAnsi="宋体" w:eastAsia="宋体" w:cs="宋体"/>
                <w:b w:val="0"/>
                <w:bCs w:val="0"/>
                <w:sz w:val="21"/>
                <w:szCs w:val="21"/>
              </w:rPr>
              <w:t>0</w:t>
            </w:r>
          </w:p>
        </w:tc>
        <w:tc>
          <w:tcPr>
            <w:tcW w:w="499" w:type="pct"/>
            <w:vAlign w:val="center"/>
          </w:tcPr>
          <w:p w14:paraId="3DAEED42">
            <w:pPr>
              <w:autoSpaceDE w:val="0"/>
              <w:autoSpaceDN w:val="0"/>
              <w:jc w:val="center"/>
              <w:rPr>
                <w:rFonts w:hint="eastAsia" w:ascii="宋体" w:hAnsi="宋体" w:eastAsia="宋体" w:cs="宋体"/>
                <w:sz w:val="21"/>
                <w:szCs w:val="21"/>
              </w:rPr>
            </w:pPr>
            <w:r>
              <w:rPr>
                <w:rFonts w:hint="eastAsia" w:ascii="宋体" w:hAnsi="宋体" w:eastAsia="宋体" w:cs="宋体"/>
                <w:b w:val="0"/>
                <w:bCs w:val="0"/>
                <w:sz w:val="21"/>
                <w:szCs w:val="21"/>
              </w:rPr>
              <w:t>0</w:t>
            </w:r>
          </w:p>
        </w:tc>
        <w:tc>
          <w:tcPr>
            <w:tcW w:w="499" w:type="pct"/>
            <w:vAlign w:val="center"/>
          </w:tcPr>
          <w:p w14:paraId="6ECC5D6C">
            <w:pPr>
              <w:autoSpaceDE w:val="0"/>
              <w:autoSpaceDN w:val="0"/>
              <w:jc w:val="center"/>
              <w:rPr>
                <w:rFonts w:hint="eastAsia" w:ascii="宋体" w:hAnsi="宋体" w:eastAsia="宋体" w:cs="宋体"/>
                <w:sz w:val="21"/>
                <w:szCs w:val="21"/>
              </w:rPr>
            </w:pPr>
            <w:r>
              <w:rPr>
                <w:rFonts w:hint="eastAsia" w:ascii="宋体" w:hAnsi="宋体" w:eastAsia="宋体" w:cs="宋体"/>
                <w:b w:val="0"/>
                <w:bCs w:val="0"/>
                <w:sz w:val="21"/>
                <w:szCs w:val="21"/>
              </w:rPr>
              <w:t>0</w:t>
            </w:r>
          </w:p>
        </w:tc>
        <w:tc>
          <w:tcPr>
            <w:tcW w:w="499" w:type="pct"/>
            <w:vAlign w:val="center"/>
          </w:tcPr>
          <w:p w14:paraId="0A8CC543">
            <w:pPr>
              <w:autoSpaceDE w:val="0"/>
              <w:autoSpaceDN w:val="0"/>
              <w:jc w:val="center"/>
              <w:rPr>
                <w:rFonts w:hint="eastAsia" w:ascii="宋体" w:hAnsi="宋体" w:eastAsia="宋体" w:cs="宋体"/>
                <w:sz w:val="21"/>
                <w:szCs w:val="21"/>
              </w:rPr>
            </w:pPr>
            <w:r>
              <w:rPr>
                <w:rFonts w:hint="eastAsia" w:ascii="宋体" w:hAnsi="宋体" w:eastAsia="宋体" w:cs="宋体"/>
                <w:b w:val="0"/>
                <w:bCs w:val="0"/>
                <w:sz w:val="21"/>
                <w:szCs w:val="21"/>
              </w:rPr>
              <w:t>0</w:t>
            </w:r>
          </w:p>
        </w:tc>
        <w:tc>
          <w:tcPr>
            <w:tcW w:w="499" w:type="pct"/>
            <w:vAlign w:val="center"/>
          </w:tcPr>
          <w:p w14:paraId="49901DE0">
            <w:pPr>
              <w:autoSpaceDE w:val="0"/>
              <w:autoSpaceDN w:val="0"/>
              <w:jc w:val="center"/>
              <w:rPr>
                <w:rFonts w:hint="eastAsia" w:ascii="宋体" w:hAnsi="宋体" w:eastAsia="宋体" w:cs="宋体"/>
                <w:sz w:val="21"/>
                <w:szCs w:val="21"/>
              </w:rPr>
            </w:pPr>
            <w:r>
              <w:rPr>
                <w:rFonts w:hint="eastAsia" w:ascii="宋体" w:hAnsi="宋体" w:eastAsia="宋体" w:cs="宋体"/>
                <w:b w:val="0"/>
                <w:bCs w:val="0"/>
                <w:sz w:val="21"/>
                <w:szCs w:val="21"/>
              </w:rPr>
              <w:t>0</w:t>
            </w:r>
          </w:p>
        </w:tc>
        <w:tc>
          <w:tcPr>
            <w:tcW w:w="499" w:type="pct"/>
            <w:vAlign w:val="center"/>
          </w:tcPr>
          <w:p w14:paraId="4C94B7EA">
            <w:pPr>
              <w:autoSpaceDE w:val="0"/>
              <w:autoSpaceDN w:val="0"/>
              <w:jc w:val="center"/>
              <w:rPr>
                <w:rFonts w:hint="eastAsia" w:ascii="宋体" w:hAnsi="宋体" w:eastAsia="宋体" w:cs="宋体"/>
                <w:sz w:val="21"/>
                <w:szCs w:val="21"/>
              </w:rPr>
            </w:pPr>
            <w:r>
              <w:rPr>
                <w:rFonts w:hint="eastAsia" w:ascii="宋体" w:hAnsi="宋体" w:eastAsia="宋体" w:cs="宋体"/>
                <w:b w:val="0"/>
                <w:bCs w:val="0"/>
                <w:sz w:val="21"/>
                <w:szCs w:val="21"/>
              </w:rPr>
              <w:t>6</w:t>
            </w:r>
          </w:p>
        </w:tc>
        <w:tc>
          <w:tcPr>
            <w:tcW w:w="499" w:type="pct"/>
            <w:vAlign w:val="center"/>
          </w:tcPr>
          <w:p w14:paraId="286B2FD4">
            <w:pPr>
              <w:autoSpaceDE w:val="0"/>
              <w:autoSpaceDN w:val="0"/>
              <w:jc w:val="center"/>
              <w:rPr>
                <w:rFonts w:hint="eastAsia" w:ascii="宋体" w:hAnsi="宋体" w:eastAsia="宋体" w:cs="宋体"/>
                <w:sz w:val="21"/>
                <w:szCs w:val="21"/>
              </w:rPr>
            </w:pPr>
            <w:r>
              <w:rPr>
                <w:rFonts w:hint="eastAsia" w:ascii="宋体" w:hAnsi="宋体" w:eastAsia="宋体" w:cs="宋体"/>
                <w:b w:val="0"/>
                <w:bCs w:val="0"/>
                <w:sz w:val="21"/>
                <w:szCs w:val="21"/>
              </w:rPr>
              <w:t>3</w:t>
            </w:r>
          </w:p>
        </w:tc>
        <w:tc>
          <w:tcPr>
            <w:tcW w:w="499" w:type="pct"/>
            <w:vAlign w:val="center"/>
          </w:tcPr>
          <w:p w14:paraId="0957FCD6">
            <w:pPr>
              <w:autoSpaceDE w:val="0"/>
              <w:autoSpaceDN w:val="0"/>
              <w:jc w:val="center"/>
              <w:rPr>
                <w:rFonts w:hint="eastAsia" w:ascii="宋体" w:hAnsi="宋体" w:eastAsia="宋体" w:cs="宋体"/>
                <w:sz w:val="21"/>
                <w:szCs w:val="21"/>
              </w:rPr>
            </w:pPr>
            <w:r>
              <w:rPr>
                <w:rFonts w:hint="eastAsia" w:ascii="宋体" w:hAnsi="宋体" w:eastAsia="宋体" w:cs="宋体"/>
                <w:b w:val="0"/>
                <w:bCs w:val="0"/>
                <w:sz w:val="21"/>
                <w:szCs w:val="21"/>
              </w:rPr>
              <w:t>0</w:t>
            </w:r>
          </w:p>
        </w:tc>
        <w:tc>
          <w:tcPr>
            <w:tcW w:w="501" w:type="pct"/>
            <w:vAlign w:val="center"/>
          </w:tcPr>
          <w:p w14:paraId="570B923D">
            <w:pPr>
              <w:autoSpaceDE w:val="0"/>
              <w:autoSpaceDN w:val="0"/>
              <w:jc w:val="center"/>
              <w:rPr>
                <w:rFonts w:hint="eastAsia" w:ascii="宋体" w:hAnsi="宋体" w:eastAsia="宋体" w:cs="宋体"/>
                <w:sz w:val="21"/>
                <w:szCs w:val="21"/>
              </w:rPr>
            </w:pPr>
            <w:r>
              <w:rPr>
                <w:rFonts w:hint="eastAsia" w:ascii="宋体" w:hAnsi="宋体" w:eastAsia="宋体" w:cs="宋体"/>
                <w:b w:val="0"/>
                <w:bCs w:val="0"/>
                <w:sz w:val="21"/>
                <w:szCs w:val="21"/>
              </w:rPr>
              <w:t>0</w:t>
            </w:r>
          </w:p>
        </w:tc>
      </w:tr>
    </w:tbl>
    <w:p w14:paraId="5A4DE8A6">
      <w:pPr>
        <w:autoSpaceDE w:val="0"/>
        <w:autoSpaceDN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表3-4 签约单位地域分布</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316"/>
        <w:gridCol w:w="1744"/>
        <w:gridCol w:w="1599"/>
        <w:gridCol w:w="2182"/>
      </w:tblGrid>
      <w:tr w14:paraId="1EB6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87" w:type="pct"/>
            <w:vAlign w:val="center"/>
          </w:tcPr>
          <w:p w14:paraId="69EFA8AC">
            <w:pPr>
              <w:autoSpaceDE w:val="0"/>
              <w:autoSpaceDN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单位地域</w:t>
            </w:r>
          </w:p>
        </w:tc>
        <w:tc>
          <w:tcPr>
            <w:tcW w:w="772" w:type="pct"/>
            <w:vAlign w:val="center"/>
          </w:tcPr>
          <w:p w14:paraId="021DD550">
            <w:pPr>
              <w:autoSpaceDE w:val="0"/>
              <w:autoSpaceDN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本省</w:t>
            </w:r>
          </w:p>
        </w:tc>
        <w:tc>
          <w:tcPr>
            <w:tcW w:w="1023" w:type="pct"/>
            <w:vAlign w:val="center"/>
          </w:tcPr>
          <w:p w14:paraId="2581D048">
            <w:pPr>
              <w:autoSpaceDE w:val="0"/>
              <w:autoSpaceDN w:val="0"/>
              <w:spacing w:line="360" w:lineRule="auto"/>
              <w:jc w:val="center"/>
              <w:rPr>
                <w:rFonts w:hint="eastAsia" w:ascii="宋体" w:hAnsi="宋体" w:eastAsia="宋体" w:cs="宋体"/>
                <w:b/>
                <w:sz w:val="21"/>
                <w:szCs w:val="21"/>
              </w:rPr>
            </w:pPr>
            <w:bookmarkStart w:id="3" w:name="OLE_LINK13"/>
            <w:r>
              <w:rPr>
                <w:rFonts w:hint="eastAsia" w:ascii="宋体" w:hAnsi="宋体" w:eastAsia="宋体" w:cs="宋体"/>
                <w:b/>
                <w:sz w:val="21"/>
                <w:szCs w:val="21"/>
              </w:rPr>
              <w:t>东部地区</w:t>
            </w:r>
            <w:bookmarkEnd w:id="3"/>
          </w:p>
        </w:tc>
        <w:tc>
          <w:tcPr>
            <w:tcW w:w="938" w:type="pct"/>
            <w:vAlign w:val="center"/>
          </w:tcPr>
          <w:p w14:paraId="49DB1F7F">
            <w:pPr>
              <w:autoSpaceDE w:val="0"/>
              <w:autoSpaceDN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中部地区</w:t>
            </w:r>
          </w:p>
        </w:tc>
        <w:tc>
          <w:tcPr>
            <w:tcW w:w="1280" w:type="pct"/>
            <w:vAlign w:val="center"/>
          </w:tcPr>
          <w:p w14:paraId="11682F32">
            <w:pPr>
              <w:autoSpaceDE w:val="0"/>
              <w:autoSpaceDN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西部地区</w:t>
            </w:r>
          </w:p>
        </w:tc>
      </w:tr>
      <w:tr w14:paraId="4125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87" w:type="pct"/>
            <w:vAlign w:val="center"/>
          </w:tcPr>
          <w:p w14:paraId="56E694A8">
            <w:pPr>
              <w:autoSpaceDE w:val="0"/>
              <w:autoSpaceDN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硕士签约</w:t>
            </w:r>
          </w:p>
        </w:tc>
        <w:tc>
          <w:tcPr>
            <w:tcW w:w="772" w:type="pct"/>
            <w:vAlign w:val="center"/>
          </w:tcPr>
          <w:p w14:paraId="37876A12">
            <w:pPr>
              <w:autoSpaceDE w:val="0"/>
              <w:autoSpaceDN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023" w:type="pct"/>
            <w:vAlign w:val="center"/>
          </w:tcPr>
          <w:p w14:paraId="4AE484E3">
            <w:pPr>
              <w:autoSpaceDE w:val="0"/>
              <w:autoSpaceDN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938" w:type="pct"/>
            <w:vAlign w:val="center"/>
          </w:tcPr>
          <w:p w14:paraId="7BD226AF">
            <w:pPr>
              <w:autoSpaceDE w:val="0"/>
              <w:autoSpaceDN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280" w:type="pct"/>
            <w:vAlign w:val="center"/>
          </w:tcPr>
          <w:p w14:paraId="2D108787">
            <w:pPr>
              <w:autoSpaceDE w:val="0"/>
              <w:autoSpaceDN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w:t>
            </w:r>
          </w:p>
        </w:tc>
      </w:tr>
    </w:tbl>
    <w:p w14:paraId="737ED97E">
      <w:pPr>
        <w:widowControl/>
        <w:shd w:val="clear" w:color="auto" w:fill="FFFFFF"/>
        <w:ind w:firstLine="560" w:firstLineChars="200"/>
        <w:jc w:val="left"/>
        <w:rPr>
          <w:rFonts w:ascii="宋体" w:hAnsi="宋体"/>
        </w:rPr>
      </w:pPr>
      <w:r>
        <w:rPr>
          <w:rFonts w:hint="eastAsia" w:ascii="宋体" w:hAnsi="宋体"/>
        </w:rPr>
        <w:t>面对当前就业市场，大多数毕业生能较准确地找到自己的就业去向，努力在现有条件下谋求个人发展，就业去向选择呈现自主性、多样化等特点。从反馈情况看，我院大部分毕业生能得到用人单位的普遍认可，反映在我院毕业生能够拥护党的方针政策、工作态度认真严谨、计算机应用能力强、专业基础知识扎实等。调查结果表明，绝大多数毕业生对所从事的工作是能够胜任的，同时，用人单位还进一步表达了需求毕业生的愿望，通过调查和座谈，我们还了解到一些毕业生较为突出的表现。</w:t>
      </w:r>
    </w:p>
    <w:p w14:paraId="01F7B533">
      <w:pPr>
        <w:pStyle w:val="3"/>
      </w:pPr>
      <w:r>
        <w:rPr>
          <w:rFonts w:hint="eastAsia"/>
        </w:rPr>
        <w:t>四、服务贡献</w:t>
      </w:r>
    </w:p>
    <w:p w14:paraId="2DA8C8DB">
      <w:pPr>
        <w:pStyle w:val="4"/>
      </w:pPr>
      <w:r>
        <w:rPr>
          <w:rFonts w:hint="eastAsia"/>
        </w:rPr>
        <w:t>4</w:t>
      </w:r>
      <w:r>
        <w:t>.1</w:t>
      </w:r>
      <w:r>
        <w:rPr>
          <w:rFonts w:hint="eastAsia"/>
        </w:rPr>
        <w:t>科技进步</w:t>
      </w:r>
    </w:p>
    <w:p w14:paraId="2DA21469">
      <w:pPr>
        <w:widowControl/>
        <w:shd w:val="clear" w:color="auto" w:fill="FFFFFF"/>
        <w:ind w:firstLine="560" w:firstLineChars="200"/>
        <w:jc w:val="left"/>
        <w:rPr>
          <w:rFonts w:ascii="宋体" w:hAnsi="宋体"/>
        </w:rPr>
      </w:pPr>
      <w:r>
        <w:rPr>
          <w:rFonts w:hint="eastAsia" w:ascii="宋体" w:hAnsi="宋体"/>
        </w:rPr>
        <w:t>天津城建大学作为市属高校中以“城建”类为主干学科专业的大学，区位、资源优势明显。京津冀协同发展及雄安新区建设中城乡规划修编、空间布局调整、新型城镇化管理等相关工作的进一步开展，大量工程项目策划、设计、建设、实施和管理急需城乡规划类专业人才，成为规划专业顺势发展优势。本专业积极响应京津冀城市群与区域协同发展，广泛承接区域建设相关的科研课题，促进了京津冀和环渤海区域经济和城乡发展。评估期内立项国家自然科学基金面上项目“基于大气安全阈值约束与控污物理环境调适的京津冀产-城低污布局理论研究”、青年基金项目“时空行为视角下城市轨交站区空间生长机理及动态调控策略研究”等各级各类科研项目80余项，获得优秀科技论文、城市及乡村规划设计奖项等60余项，研究生主持大学生创新创业项目8项。</w:t>
      </w:r>
    </w:p>
    <w:p w14:paraId="4E798052">
      <w:pPr>
        <w:pStyle w:val="4"/>
      </w:pPr>
      <w:r>
        <w:rPr>
          <w:rFonts w:hint="eastAsia"/>
        </w:rPr>
        <w:t>4</w:t>
      </w:r>
      <w:r>
        <w:t>.2</w:t>
      </w:r>
      <w:r>
        <w:rPr>
          <w:rFonts w:hint="eastAsia"/>
        </w:rPr>
        <w:t>经济发展</w:t>
      </w:r>
    </w:p>
    <w:p w14:paraId="00156C4D">
      <w:pPr>
        <w:widowControl/>
        <w:shd w:val="clear" w:color="auto" w:fill="FFFFFF"/>
        <w:ind w:firstLine="560" w:firstLineChars="200"/>
        <w:jc w:val="left"/>
        <w:rPr>
          <w:rFonts w:ascii="宋体" w:hAnsi="宋体"/>
        </w:rPr>
      </w:pPr>
      <w:r>
        <w:rPr>
          <w:rFonts w:ascii="宋体" w:hAnsi="宋体"/>
        </w:rPr>
        <w:t>依托我校城建特色7大学科专业群，充分发挥城乡规划设计与韧性城市研究、社区更新与历</w:t>
      </w:r>
      <w:r>
        <w:rPr>
          <w:rFonts w:hint="eastAsia" w:ascii="宋体" w:hAnsi="宋体"/>
        </w:rPr>
        <w:t>史文化遗产保护规划、空间经济与城乡规划理论研究学科方向优势，拓展当代城乡规划学科发展视野，在参与政策法规、行业标准与规划制定，</w:t>
      </w:r>
      <w:r>
        <w:rPr>
          <w:rFonts w:hint="eastAsia" w:ascii="宋体" w:hAnsi="宋体"/>
          <w:lang w:val="en-US" w:eastAsia="zh-CN"/>
        </w:rPr>
        <w:t>助力乡村振兴</w:t>
      </w:r>
      <w:r>
        <w:rPr>
          <w:rFonts w:hint="eastAsia" w:ascii="宋体" w:hAnsi="宋体"/>
        </w:rPr>
        <w:t>，传承城乡历史文化，优化城市空间布局，开展行业人才培训等社会服务方面为国家和地方发展做出了突出贡献。</w:t>
      </w:r>
    </w:p>
    <w:p w14:paraId="638A957F">
      <w:pPr>
        <w:widowControl/>
        <w:shd w:val="clear" w:color="auto" w:fill="FFFFFF"/>
        <w:ind w:firstLine="560" w:firstLineChars="200"/>
        <w:jc w:val="left"/>
        <w:rPr>
          <w:rFonts w:ascii="宋体" w:hAnsi="宋体"/>
        </w:rPr>
      </w:pPr>
      <w:r>
        <w:rPr>
          <w:rFonts w:hint="eastAsia" w:ascii="宋体" w:hAnsi="宋体"/>
        </w:rPr>
        <w:t>（1）</w:t>
      </w:r>
      <w:r>
        <w:rPr>
          <w:rFonts w:ascii="宋体" w:hAnsi="宋体"/>
        </w:rPr>
        <w:t>编制标准规程，服务城乡规划行业发展</w:t>
      </w:r>
      <w:r>
        <w:rPr>
          <w:rFonts w:hint="eastAsia" w:ascii="宋体" w:hAnsi="宋体"/>
        </w:rPr>
        <w:t>。参与编制自然资源部《国土空间详细规划技术规程》。主持编写国家和地方重要标准规程</w:t>
      </w:r>
      <w:r>
        <w:rPr>
          <w:rFonts w:ascii="宋体" w:hAnsi="宋体"/>
        </w:rPr>
        <w:t>20余项。</w:t>
      </w:r>
    </w:p>
    <w:p w14:paraId="4C39BCDF">
      <w:pPr>
        <w:widowControl/>
        <w:shd w:val="clear" w:color="auto" w:fill="FFFFFF"/>
        <w:ind w:firstLine="560" w:firstLineChars="200"/>
        <w:jc w:val="left"/>
        <w:rPr>
          <w:rFonts w:hint="eastAsia" w:ascii="宋体" w:hAnsi="宋体"/>
        </w:rPr>
      </w:pPr>
      <w:r>
        <w:rPr>
          <w:rFonts w:hint="eastAsia" w:ascii="宋体" w:hAnsi="宋体"/>
        </w:rPr>
        <w:t>（2）</w:t>
      </w:r>
      <w:r>
        <w:rPr>
          <w:rFonts w:hint="eastAsia" w:ascii="宋体" w:hAnsi="宋体"/>
          <w:lang w:val="en-US" w:eastAsia="zh-CN"/>
        </w:rPr>
        <w:t>坚持规划引领，助力乡村振兴</w:t>
      </w:r>
      <w:r>
        <w:rPr>
          <w:rFonts w:hint="eastAsia" w:ascii="宋体" w:hAnsi="宋体"/>
        </w:rPr>
        <w:t>。</w:t>
      </w:r>
      <w:r>
        <w:rPr>
          <w:rFonts w:ascii="宋体" w:hAnsi="宋体"/>
        </w:rPr>
        <w:t>通过承担</w:t>
      </w:r>
      <w:r>
        <w:rPr>
          <w:rFonts w:hint="eastAsia" w:ascii="宋体" w:hAnsi="宋体"/>
          <w:lang w:val="en-US" w:eastAsia="zh-CN"/>
        </w:rPr>
        <w:t>乡村振兴示范建设</w:t>
      </w:r>
      <w:r>
        <w:rPr>
          <w:rFonts w:hint="eastAsia" w:ascii="宋体" w:hAnsi="宋体"/>
        </w:rPr>
        <w:t>项目、选派优秀教师支边挂职、开展系列支教活动等方式，助力乡村全面振兴。</w:t>
      </w:r>
    </w:p>
    <w:p w14:paraId="0DBA7F34">
      <w:pPr>
        <w:widowControl/>
        <w:shd w:val="clear" w:color="auto" w:fill="FFFFFF"/>
        <w:ind w:firstLine="560" w:firstLineChars="200"/>
        <w:jc w:val="left"/>
        <w:rPr>
          <w:rFonts w:ascii="宋体" w:hAnsi="宋体"/>
        </w:rPr>
      </w:pPr>
      <w:bookmarkStart w:id="4" w:name="_GoBack"/>
      <w:bookmarkEnd w:id="4"/>
      <w:r>
        <w:rPr>
          <w:rFonts w:hint="eastAsia" w:ascii="宋体" w:hAnsi="宋体"/>
        </w:rPr>
        <w:t>（3）</w:t>
      </w:r>
      <w:r>
        <w:rPr>
          <w:rFonts w:ascii="宋体" w:hAnsi="宋体"/>
        </w:rPr>
        <w:t>构建历史文化遗产数字化管理平台，提升城市文化软实力</w:t>
      </w:r>
      <w:r>
        <w:rPr>
          <w:rFonts w:hint="eastAsia" w:ascii="宋体" w:hAnsi="宋体"/>
        </w:rPr>
        <w:t>。开发了“历史街区综合防灾数字化监控和信息分类处理关键技术”提升了“五大道”历史街区的智慧化管理水平。</w:t>
      </w:r>
    </w:p>
    <w:p w14:paraId="0A81C5B0">
      <w:pPr>
        <w:widowControl/>
        <w:shd w:val="clear" w:color="auto" w:fill="FFFFFF"/>
        <w:ind w:firstLine="560" w:firstLineChars="200"/>
        <w:jc w:val="left"/>
        <w:rPr>
          <w:rFonts w:ascii="宋体" w:hAnsi="宋体"/>
        </w:rPr>
      </w:pPr>
      <w:r>
        <w:rPr>
          <w:rFonts w:hint="eastAsia" w:ascii="宋体" w:hAnsi="宋体"/>
        </w:rPr>
        <w:t>（4）</w:t>
      </w:r>
      <w:r>
        <w:rPr>
          <w:rFonts w:ascii="宋体" w:hAnsi="宋体"/>
        </w:rPr>
        <w:t>创新土地储备配置策略，助力城市空间布局优化</w:t>
      </w:r>
      <w:r>
        <w:rPr>
          <w:rFonts w:hint="eastAsia" w:ascii="宋体" w:hAnsi="宋体"/>
        </w:rPr>
        <w:t>。参与新版《天津市土地储备管理办法》修订，全方位指导天津市新八大里、水上公园北道、同生化工厂等地块整理储备工作。</w:t>
      </w:r>
    </w:p>
    <w:p w14:paraId="434E2ED5">
      <w:pPr>
        <w:pStyle w:val="4"/>
      </w:pPr>
      <w:r>
        <w:rPr>
          <w:rFonts w:hint="eastAsia"/>
        </w:rPr>
        <w:t>4</w:t>
      </w:r>
      <w:r>
        <w:t>.3</w:t>
      </w:r>
      <w:r>
        <w:rPr>
          <w:rFonts w:hint="eastAsia"/>
        </w:rPr>
        <w:t>文化建设</w:t>
      </w:r>
    </w:p>
    <w:p w14:paraId="115442F6">
      <w:pPr>
        <w:widowControl/>
        <w:shd w:val="clear" w:color="auto" w:fill="FFFFFF"/>
        <w:ind w:firstLine="560" w:firstLineChars="200"/>
        <w:jc w:val="left"/>
        <w:rPr>
          <w:rFonts w:ascii="宋体" w:hAnsi="宋体"/>
        </w:rPr>
      </w:pPr>
      <w:r>
        <w:rPr>
          <w:rFonts w:hint="eastAsia" w:ascii="宋体" w:hAnsi="宋体"/>
          <w:szCs w:val="28"/>
        </w:rPr>
        <w:t>围绕中国共产党成立100周年主题，学生通过社会实践，对天津革命遗址进行了调研和实测并举办了“革命丰碑—天津市革命遗址展览”，建立爱国主义教学基地；参与天津电视台“小楼春秋”录制，开展历史建筑遗产保护科普宣传；做客天津市广播电台的“文博不打盹”讲解天津城市发展历史，弘扬优秀传统文化；在天津电视台“大家说理”节目和津云、北方网等多家媒体，就城乡规划热点问题发表学术观点；</w:t>
      </w:r>
      <w:r>
        <w:rPr>
          <w:rFonts w:ascii="宋体" w:hAnsi="宋体"/>
        </w:rPr>
        <w:t>开展城乡规划专业培训，普及城乡规划知识</w:t>
      </w:r>
      <w:r>
        <w:rPr>
          <w:rFonts w:hint="eastAsia" w:ascii="宋体" w:hAnsi="宋体"/>
        </w:rPr>
        <w:t>，多措并举广泛进行宣传培训，传播城乡规划知识和文化，多名教师深入基层开展宣讲</w:t>
      </w:r>
      <w:r>
        <w:rPr>
          <w:rFonts w:ascii="宋体" w:hAnsi="宋体"/>
        </w:rPr>
        <w:t>100余次，受众达1万余人</w:t>
      </w:r>
      <w:r>
        <w:rPr>
          <w:rFonts w:hint="eastAsia" w:ascii="宋体" w:hAnsi="宋体"/>
        </w:rPr>
        <w:t>。</w:t>
      </w:r>
      <w:r>
        <w:rPr>
          <w:rFonts w:hint="eastAsia" w:ascii="宋体" w:hAnsi="宋体"/>
          <w:szCs w:val="28"/>
        </w:rPr>
        <w:t>在社会主义现代化迈进新时代的今天，本学位点为</w:t>
      </w:r>
      <w:r>
        <w:rPr>
          <w:rFonts w:hint="eastAsia" w:ascii="宋体" w:hAnsi="宋体"/>
          <w:szCs w:val="28"/>
          <w:lang w:eastAsia="zh-CN"/>
        </w:rPr>
        <w:t>“</w:t>
      </w:r>
      <w:r>
        <w:rPr>
          <w:rFonts w:hint="eastAsia" w:ascii="宋体" w:hAnsi="宋体"/>
          <w:szCs w:val="28"/>
        </w:rPr>
        <w:t>十四五</w:t>
      </w:r>
      <w:r>
        <w:rPr>
          <w:rFonts w:hint="eastAsia" w:ascii="宋体" w:hAnsi="宋体"/>
          <w:szCs w:val="28"/>
          <w:lang w:eastAsia="zh-CN"/>
        </w:rPr>
        <w:t>”</w:t>
      </w:r>
      <w:r>
        <w:rPr>
          <w:rFonts w:hint="eastAsia" w:ascii="宋体" w:hAnsi="宋体"/>
          <w:szCs w:val="28"/>
        </w:rPr>
        <w:t>规划和2035远景目标发挥自身力量，助力天津市红色基因传承。</w:t>
      </w:r>
    </w:p>
    <w:p w14:paraId="5987F3DB">
      <w:pPr>
        <w:pStyle w:val="3"/>
      </w:pPr>
      <w:r>
        <w:rPr>
          <w:rFonts w:hint="eastAsia"/>
        </w:rPr>
        <w:t>五、学位点建设存在的问题及建设规划</w:t>
      </w:r>
    </w:p>
    <w:p w14:paraId="75F0436F">
      <w:pPr>
        <w:pStyle w:val="4"/>
      </w:pPr>
      <w:r>
        <w:rPr>
          <w:rFonts w:hint="eastAsia"/>
        </w:rPr>
        <w:t>5</w:t>
      </w:r>
      <w:r>
        <w:t>.1</w:t>
      </w:r>
      <w:r>
        <w:rPr>
          <w:rFonts w:hint="eastAsia"/>
        </w:rPr>
        <w:t>学位点存在的问题</w:t>
      </w:r>
    </w:p>
    <w:p w14:paraId="28B4307A">
      <w:pPr>
        <w:widowControl/>
        <w:shd w:val="clear" w:color="auto" w:fill="FFFFFF"/>
        <w:ind w:firstLine="560" w:firstLineChars="200"/>
        <w:jc w:val="left"/>
        <w:rPr>
          <w:rFonts w:ascii="宋体" w:hAnsi="宋体"/>
        </w:rPr>
      </w:pPr>
      <w:r>
        <w:rPr>
          <w:rFonts w:hint="eastAsia" w:ascii="宋体" w:hAnsi="宋体"/>
        </w:rPr>
        <w:t>（</w:t>
      </w:r>
      <w:r>
        <w:rPr>
          <w:rFonts w:ascii="宋体" w:hAnsi="宋体"/>
        </w:rPr>
        <w:t>1）师资队伍建设还需提升</w:t>
      </w:r>
    </w:p>
    <w:p w14:paraId="6AB61FE1">
      <w:pPr>
        <w:widowControl/>
        <w:shd w:val="clear" w:color="auto" w:fill="FFFFFF"/>
        <w:ind w:firstLine="560" w:firstLineChars="200"/>
        <w:jc w:val="left"/>
        <w:rPr>
          <w:rFonts w:ascii="宋体" w:hAnsi="宋体"/>
        </w:rPr>
      </w:pPr>
      <w:r>
        <w:rPr>
          <w:rFonts w:hint="eastAsia" w:ascii="宋体" w:hAnsi="宋体"/>
        </w:rPr>
        <w:t>近年来城乡规划系教师学缘结构持续改善，但与国内同水平院校相比，我系专业教师规模依然有待扩充，尤其是高层次人才与学科领军人才缺位情况突出，总体师资结构有待进一步优化。</w:t>
      </w:r>
    </w:p>
    <w:p w14:paraId="6C17EDB4">
      <w:pPr>
        <w:widowControl/>
        <w:shd w:val="clear" w:color="auto" w:fill="FFFFFF"/>
        <w:ind w:firstLine="560" w:firstLineChars="200"/>
        <w:jc w:val="left"/>
        <w:rPr>
          <w:rFonts w:ascii="宋体" w:hAnsi="宋体"/>
        </w:rPr>
      </w:pPr>
      <w:r>
        <w:rPr>
          <w:rFonts w:hint="eastAsia" w:ascii="宋体" w:hAnsi="宋体"/>
        </w:rPr>
        <w:t>（</w:t>
      </w:r>
      <w:r>
        <w:rPr>
          <w:rFonts w:ascii="宋体" w:hAnsi="宋体"/>
        </w:rPr>
        <w:t>2）教学研究空间仍需增加</w:t>
      </w:r>
    </w:p>
    <w:p w14:paraId="67F4DA9B">
      <w:pPr>
        <w:widowControl/>
        <w:shd w:val="clear" w:color="auto" w:fill="FFFFFF"/>
        <w:ind w:firstLine="560" w:firstLineChars="200"/>
        <w:jc w:val="left"/>
        <w:rPr>
          <w:rFonts w:ascii="宋体" w:hAnsi="宋体"/>
        </w:rPr>
      </w:pPr>
      <w:r>
        <w:rPr>
          <w:rFonts w:hint="eastAsia" w:ascii="宋体" w:hAnsi="宋体"/>
        </w:rPr>
        <w:t>用于教学与科研的空间需要进一步扩充，相关硬件条件需要进一步改善，如各类教研空间较为分散、公共研讨交流空间不足，需要继续优化整合学校空间资源，在布局、数量与质量上进一步提升。</w:t>
      </w:r>
    </w:p>
    <w:p w14:paraId="12E37B52">
      <w:pPr>
        <w:widowControl/>
        <w:shd w:val="clear" w:color="auto" w:fill="FFFFFF"/>
        <w:ind w:firstLine="560" w:firstLineChars="200"/>
        <w:jc w:val="left"/>
        <w:rPr>
          <w:rFonts w:ascii="宋体" w:hAnsi="宋体"/>
        </w:rPr>
      </w:pPr>
      <w:r>
        <w:rPr>
          <w:rFonts w:hint="eastAsia" w:ascii="宋体" w:hAnsi="宋体"/>
        </w:rPr>
        <w:t>（</w:t>
      </w:r>
      <w:r>
        <w:rPr>
          <w:rFonts w:ascii="宋体" w:hAnsi="宋体"/>
        </w:rPr>
        <w:t>3）教学经费仍需进一步投入</w:t>
      </w:r>
    </w:p>
    <w:p w14:paraId="722F87C5">
      <w:pPr>
        <w:widowControl/>
        <w:shd w:val="clear" w:color="auto" w:fill="FFFFFF"/>
        <w:ind w:firstLine="560" w:firstLineChars="200"/>
        <w:jc w:val="left"/>
        <w:rPr>
          <w:rFonts w:ascii="宋体" w:hAnsi="宋体"/>
        </w:rPr>
      </w:pPr>
      <w:r>
        <w:rPr>
          <w:rFonts w:hint="eastAsia" w:ascii="宋体" w:hAnsi="宋体"/>
        </w:rPr>
        <w:t>受地方财政投入的影响，教学经费十分紧张，后续需要通过在经费来源、科研经费的争取、社会资源的利用等多种途径的进一步拓展，以满足高质量专业建设的需要。</w:t>
      </w:r>
    </w:p>
    <w:p w14:paraId="2D2BFB87">
      <w:pPr>
        <w:widowControl/>
        <w:shd w:val="clear" w:color="auto" w:fill="FFFFFF"/>
        <w:ind w:firstLine="560" w:firstLineChars="200"/>
        <w:jc w:val="left"/>
        <w:rPr>
          <w:rFonts w:ascii="宋体" w:hAnsi="宋体"/>
        </w:rPr>
      </w:pPr>
      <w:r>
        <w:rPr>
          <w:rFonts w:hint="eastAsia" w:ascii="宋体" w:hAnsi="宋体"/>
        </w:rPr>
        <w:t>（</w:t>
      </w:r>
      <w:r>
        <w:rPr>
          <w:rFonts w:ascii="宋体" w:hAnsi="宋体"/>
        </w:rPr>
        <w:t>4）对外交流不足</w:t>
      </w:r>
    </w:p>
    <w:p w14:paraId="7E15CA33">
      <w:pPr>
        <w:widowControl/>
        <w:shd w:val="clear" w:color="auto" w:fill="FFFFFF"/>
        <w:ind w:firstLine="560" w:firstLineChars="200"/>
        <w:jc w:val="left"/>
        <w:rPr>
          <w:rFonts w:ascii="宋体" w:hAnsi="宋体"/>
        </w:rPr>
      </w:pPr>
      <w:r>
        <w:rPr>
          <w:rFonts w:hint="eastAsia" w:ascii="宋体" w:hAnsi="宋体"/>
        </w:rPr>
        <w:t>城乡规划系常态化的对外合作与交流制度还未建立，仍然需要进一步深化交流领域、细化合作项目。</w:t>
      </w:r>
    </w:p>
    <w:p w14:paraId="3A0F3A83">
      <w:pPr>
        <w:pStyle w:val="4"/>
      </w:pPr>
      <w:r>
        <w:rPr>
          <w:rFonts w:hint="eastAsia"/>
        </w:rPr>
        <w:t>5</w:t>
      </w:r>
      <w:r>
        <w:t>.2</w:t>
      </w:r>
      <w:r>
        <w:rPr>
          <w:rFonts w:hint="eastAsia"/>
        </w:rPr>
        <w:t>学位点建设规划</w:t>
      </w:r>
    </w:p>
    <w:p w14:paraId="05173DDA">
      <w:pPr>
        <w:widowControl/>
        <w:shd w:val="clear" w:color="auto" w:fill="FFFFFF"/>
        <w:ind w:firstLine="560" w:firstLineChars="200"/>
        <w:jc w:val="left"/>
        <w:rPr>
          <w:rFonts w:ascii="宋体" w:hAnsi="宋体"/>
        </w:rPr>
      </w:pPr>
      <w:r>
        <w:rPr>
          <w:rFonts w:hint="eastAsia" w:ascii="宋体" w:hAnsi="宋体"/>
        </w:rPr>
        <w:t>（1）优化师资结构，提升办学条件</w:t>
      </w:r>
    </w:p>
    <w:p w14:paraId="2C5FA3EC">
      <w:pPr>
        <w:widowControl/>
        <w:shd w:val="clear" w:color="auto" w:fill="FFFFFF"/>
        <w:ind w:firstLine="560" w:firstLineChars="200"/>
        <w:jc w:val="left"/>
        <w:rPr>
          <w:rFonts w:ascii="宋体" w:hAnsi="宋体"/>
        </w:rPr>
      </w:pPr>
      <w:r>
        <w:rPr>
          <w:rFonts w:hint="eastAsia" w:ascii="宋体" w:hAnsi="宋体"/>
        </w:rPr>
        <w:t>围绕人才培养目标、毕业要求以及支撑毕业要求的课程体系，重点引进地理学、土地管理学、智能计算、公共管理与公共政策、城市经济学等领域高水平师资；继续加大对青年教师培养的力度，通过教研团队建设等方式，使青年教师在团队负责人引领下迅速成长。</w:t>
      </w:r>
    </w:p>
    <w:p w14:paraId="7880C6E5">
      <w:pPr>
        <w:widowControl/>
        <w:shd w:val="clear" w:color="auto" w:fill="FFFFFF"/>
        <w:ind w:firstLine="560" w:firstLineChars="200"/>
        <w:jc w:val="left"/>
        <w:rPr>
          <w:rFonts w:ascii="宋体" w:hAnsi="宋体"/>
        </w:rPr>
      </w:pPr>
      <w:r>
        <w:rPr>
          <w:rFonts w:hint="eastAsia" w:ascii="宋体" w:hAnsi="宋体"/>
        </w:rPr>
        <w:t>（2）发挥地缘优势，增强对外交流合作</w:t>
      </w:r>
    </w:p>
    <w:p w14:paraId="1A7358FE">
      <w:pPr>
        <w:widowControl/>
        <w:shd w:val="clear" w:color="auto" w:fill="FFFFFF"/>
        <w:ind w:firstLine="560" w:firstLineChars="200"/>
        <w:jc w:val="left"/>
        <w:rPr>
          <w:rFonts w:ascii="宋体" w:hAnsi="宋体"/>
        </w:rPr>
      </w:pPr>
      <w:r>
        <w:rPr>
          <w:rFonts w:hint="eastAsia" w:ascii="宋体" w:hAnsi="宋体"/>
        </w:rPr>
        <w:t>探索与区域社会经济发展相适应的合作交流机制，发挥京津冀地缘优势，加强与天津市自然资源和规划局、天津住房和城乡建设委员会、天津市农业农村局、天津市交通运输委员会、天津市科技局、天津市教育委员会等有关部门的联系；进一步加强校外培养基地的合作关系，为天津城乡建设以及京津冀协同发展等提供技术支撑。</w:t>
      </w:r>
    </w:p>
    <w:p w14:paraId="35859F83">
      <w:pPr>
        <w:widowControl/>
        <w:shd w:val="clear" w:color="auto" w:fill="FFFFFF"/>
        <w:ind w:firstLine="560" w:firstLineChars="200"/>
        <w:jc w:val="left"/>
        <w:rPr>
          <w:rFonts w:ascii="宋体" w:hAnsi="宋体"/>
        </w:rPr>
      </w:pPr>
      <w:r>
        <w:rPr>
          <w:rFonts w:hint="eastAsia" w:ascii="宋体" w:hAnsi="宋体"/>
        </w:rPr>
        <w:t>（3）以科研团队建设促进导师团队培育</w:t>
      </w:r>
    </w:p>
    <w:p w14:paraId="5E02A0B2">
      <w:pPr>
        <w:widowControl/>
        <w:shd w:val="clear" w:color="auto" w:fill="FFFFFF"/>
        <w:ind w:firstLine="560" w:firstLineChars="200"/>
        <w:jc w:val="left"/>
        <w:rPr>
          <w:rFonts w:ascii="宋体" w:hAnsi="宋体"/>
        </w:rPr>
      </w:pPr>
      <w:r>
        <w:rPr>
          <w:rFonts w:hint="eastAsia" w:ascii="宋体" w:hAnsi="宋体"/>
        </w:rPr>
        <w:t>针对研究生数量的增加，导师团队的培养尤为重要。</w:t>
      </w:r>
      <w:r>
        <w:rPr>
          <w:rFonts w:ascii="宋体" w:hAnsi="宋体"/>
        </w:rPr>
        <w:t>基于规划专业</w:t>
      </w:r>
      <w:r>
        <w:rPr>
          <w:rFonts w:hint="eastAsia" w:ascii="宋体" w:hAnsi="宋体"/>
        </w:rPr>
        <w:t>五个科研团队（乡村振兴、韧性国土与智慧城乡规划、文化遗产保护与城乡发展、历史城镇规划、城市交通）构建导师团队的指导模式，导师团队在知识结构、学术背景、职称结构、年龄组成上形成一定的层次性和互补性。</w:t>
      </w:r>
    </w:p>
    <w:p w14:paraId="2E6C290F">
      <w:pPr>
        <w:widowControl/>
        <w:shd w:val="clear" w:color="auto" w:fill="FFFFFF"/>
        <w:jc w:val="left"/>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87182C-D2BB-4259-B20D-2EB56A2FB94C}"/>
  </w:font>
  <w:font w:name="黑体">
    <w:panose1 w:val="02010609060101010101"/>
    <w:charset w:val="86"/>
    <w:family w:val="auto"/>
    <w:pitch w:val="default"/>
    <w:sig w:usb0="800002BF" w:usb1="38CF7CFA" w:usb2="00000016" w:usb3="00000000" w:csb0="00040001" w:csb1="00000000"/>
    <w:embedRegular r:id="rId2" w:fontKey="{7DB0D5BB-8D9F-43AB-89D0-E7351402C482}"/>
  </w:font>
  <w:font w:name="Courier New">
    <w:panose1 w:val="02070309020205020404"/>
    <w:charset w:val="01"/>
    <w:family w:val="modern"/>
    <w:pitch w:val="default"/>
    <w:sig w:usb0="E0002EFF" w:usb1="C0007843" w:usb2="00000009" w:usb3="00000000" w:csb0="400001FF" w:csb1="FFFF0000"/>
    <w:embedRegular r:id="rId3" w:fontKey="{75F415C6-EEF5-41C2-A109-10BD7FC1E3F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EDEE9452-66FD-43F1-AF88-2373278D7CA5}"/>
  </w:font>
  <w:font w:name="等线">
    <w:panose1 w:val="02010600030101010101"/>
    <w:charset w:val="86"/>
    <w:family w:val="auto"/>
    <w:pitch w:val="default"/>
    <w:sig w:usb0="A00002BF" w:usb1="38CF7CFA" w:usb2="00000016" w:usb3="00000000" w:csb0="0004000F" w:csb1="00000000"/>
    <w:embedRegular r:id="rId5" w:fontKey="{CA979155-E397-4203-81AE-90A104F816ED}"/>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6" w:fontKey="{79E4AA96-482D-4A91-8EA7-5AC56FA9B3D8}"/>
  </w:font>
  <w:font w:name="仿宋">
    <w:panose1 w:val="02010609060101010101"/>
    <w:charset w:val="86"/>
    <w:family w:val="modern"/>
    <w:pitch w:val="default"/>
    <w:sig w:usb0="800002BF" w:usb1="38CF7CFA" w:usb2="00000016" w:usb3="00000000" w:csb0="00040001" w:csb1="00000000"/>
    <w:embedRegular r:id="rId7" w:fontKey="{E3BB642C-C217-491A-80B5-9CA7FA474D33}"/>
  </w:font>
  <w:font w:name="仿宋_GB2312">
    <w:altName w:val="仿宋"/>
    <w:panose1 w:val="00000000000000000000"/>
    <w:charset w:val="86"/>
    <w:family w:val="modern"/>
    <w:pitch w:val="default"/>
    <w:sig w:usb0="00000000" w:usb1="00000000" w:usb2="00000010" w:usb3="00000000" w:csb0="00040000" w:csb1="00000000"/>
    <w:embedRegular r:id="rId8" w:fontKey="{CA815C6B-3023-4DBE-9B4B-F901EF2D4CAB}"/>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4CD8"/>
    <w:rsid w:val="00000A2C"/>
    <w:rsid w:val="0002361F"/>
    <w:rsid w:val="0002502A"/>
    <w:rsid w:val="00043D55"/>
    <w:rsid w:val="000964E2"/>
    <w:rsid w:val="000E2CB4"/>
    <w:rsid w:val="000E3ED8"/>
    <w:rsid w:val="000F6B8B"/>
    <w:rsid w:val="00100407"/>
    <w:rsid w:val="0014339C"/>
    <w:rsid w:val="00150EB4"/>
    <w:rsid w:val="0017740C"/>
    <w:rsid w:val="001959BC"/>
    <w:rsid w:val="001A090F"/>
    <w:rsid w:val="001A7932"/>
    <w:rsid w:val="001B1FD8"/>
    <w:rsid w:val="00207073"/>
    <w:rsid w:val="00216BAD"/>
    <w:rsid w:val="00227CD2"/>
    <w:rsid w:val="00233955"/>
    <w:rsid w:val="00266AC8"/>
    <w:rsid w:val="002A4B54"/>
    <w:rsid w:val="002D3804"/>
    <w:rsid w:val="002D5827"/>
    <w:rsid w:val="002F3086"/>
    <w:rsid w:val="00307B5C"/>
    <w:rsid w:val="0033351B"/>
    <w:rsid w:val="0034335F"/>
    <w:rsid w:val="003526BE"/>
    <w:rsid w:val="0039407B"/>
    <w:rsid w:val="00395AA4"/>
    <w:rsid w:val="003D4670"/>
    <w:rsid w:val="003D6D7D"/>
    <w:rsid w:val="004129CF"/>
    <w:rsid w:val="00454BAE"/>
    <w:rsid w:val="00462D40"/>
    <w:rsid w:val="00490965"/>
    <w:rsid w:val="00494F0F"/>
    <w:rsid w:val="004C3CD0"/>
    <w:rsid w:val="004D251C"/>
    <w:rsid w:val="004D4DBB"/>
    <w:rsid w:val="004E060E"/>
    <w:rsid w:val="004E7604"/>
    <w:rsid w:val="004E7F3C"/>
    <w:rsid w:val="004F2948"/>
    <w:rsid w:val="004F6BFF"/>
    <w:rsid w:val="00500F81"/>
    <w:rsid w:val="00501318"/>
    <w:rsid w:val="005206D5"/>
    <w:rsid w:val="005331F2"/>
    <w:rsid w:val="0054659F"/>
    <w:rsid w:val="00554655"/>
    <w:rsid w:val="0057326C"/>
    <w:rsid w:val="005966D4"/>
    <w:rsid w:val="005A5E93"/>
    <w:rsid w:val="005A72B9"/>
    <w:rsid w:val="005C335F"/>
    <w:rsid w:val="005C52E3"/>
    <w:rsid w:val="005F3211"/>
    <w:rsid w:val="00631AD2"/>
    <w:rsid w:val="006336C1"/>
    <w:rsid w:val="00650D34"/>
    <w:rsid w:val="00654F82"/>
    <w:rsid w:val="006574C1"/>
    <w:rsid w:val="0066565E"/>
    <w:rsid w:val="00676234"/>
    <w:rsid w:val="006C623D"/>
    <w:rsid w:val="006C7F2B"/>
    <w:rsid w:val="006E22A1"/>
    <w:rsid w:val="00702FFB"/>
    <w:rsid w:val="007839D6"/>
    <w:rsid w:val="00784DBC"/>
    <w:rsid w:val="00796105"/>
    <w:rsid w:val="007B77D6"/>
    <w:rsid w:val="007D7063"/>
    <w:rsid w:val="007E04C0"/>
    <w:rsid w:val="007F1516"/>
    <w:rsid w:val="007F4E8B"/>
    <w:rsid w:val="007F4F36"/>
    <w:rsid w:val="00824CD8"/>
    <w:rsid w:val="00830CE5"/>
    <w:rsid w:val="008C4102"/>
    <w:rsid w:val="008C5DF0"/>
    <w:rsid w:val="008F1AFD"/>
    <w:rsid w:val="008F6DD2"/>
    <w:rsid w:val="0090696C"/>
    <w:rsid w:val="00935D1A"/>
    <w:rsid w:val="009C1C9A"/>
    <w:rsid w:val="009C5F09"/>
    <w:rsid w:val="009D7FBF"/>
    <w:rsid w:val="009E566A"/>
    <w:rsid w:val="00A61384"/>
    <w:rsid w:val="00A67951"/>
    <w:rsid w:val="00A9120F"/>
    <w:rsid w:val="00AA1B0F"/>
    <w:rsid w:val="00AD47CE"/>
    <w:rsid w:val="00B13359"/>
    <w:rsid w:val="00B46DF2"/>
    <w:rsid w:val="00B6693C"/>
    <w:rsid w:val="00B73160"/>
    <w:rsid w:val="00B8620C"/>
    <w:rsid w:val="00BA114F"/>
    <w:rsid w:val="00BD767F"/>
    <w:rsid w:val="00C225AA"/>
    <w:rsid w:val="00C24117"/>
    <w:rsid w:val="00C32D14"/>
    <w:rsid w:val="00C92EAF"/>
    <w:rsid w:val="00D065B8"/>
    <w:rsid w:val="00D578ED"/>
    <w:rsid w:val="00D66423"/>
    <w:rsid w:val="00D9362D"/>
    <w:rsid w:val="00DA2EEE"/>
    <w:rsid w:val="00DA5012"/>
    <w:rsid w:val="00DD188B"/>
    <w:rsid w:val="00DF4EAC"/>
    <w:rsid w:val="00DF6434"/>
    <w:rsid w:val="00E12CAA"/>
    <w:rsid w:val="00E212C2"/>
    <w:rsid w:val="00E4149B"/>
    <w:rsid w:val="00E623F2"/>
    <w:rsid w:val="00E77A38"/>
    <w:rsid w:val="00E877A7"/>
    <w:rsid w:val="00E96CA5"/>
    <w:rsid w:val="00EB1502"/>
    <w:rsid w:val="00ED1A0F"/>
    <w:rsid w:val="00EE1E72"/>
    <w:rsid w:val="00F24705"/>
    <w:rsid w:val="00F56CCA"/>
    <w:rsid w:val="00F67BA3"/>
    <w:rsid w:val="00F90FDB"/>
    <w:rsid w:val="00FC79A1"/>
    <w:rsid w:val="00FD0964"/>
    <w:rsid w:val="00FD2711"/>
    <w:rsid w:val="00FD342E"/>
    <w:rsid w:val="00FE77BB"/>
    <w:rsid w:val="00FF7312"/>
    <w:rsid w:val="026833A0"/>
    <w:rsid w:val="04787DF0"/>
    <w:rsid w:val="08962DDD"/>
    <w:rsid w:val="0D10137A"/>
    <w:rsid w:val="0D9D6072"/>
    <w:rsid w:val="0F15146A"/>
    <w:rsid w:val="17B01F32"/>
    <w:rsid w:val="2E176CC6"/>
    <w:rsid w:val="370F76FD"/>
    <w:rsid w:val="3AB75619"/>
    <w:rsid w:val="40414F3B"/>
    <w:rsid w:val="42C02E0E"/>
    <w:rsid w:val="46A02970"/>
    <w:rsid w:val="49886629"/>
    <w:rsid w:val="54BC281B"/>
    <w:rsid w:val="553B4087"/>
    <w:rsid w:val="5F4678B1"/>
    <w:rsid w:val="60485BB9"/>
    <w:rsid w:val="61630BEE"/>
    <w:rsid w:val="655F16CC"/>
    <w:rsid w:val="6739419F"/>
    <w:rsid w:val="679A34D2"/>
    <w:rsid w:val="6C111246"/>
    <w:rsid w:val="709F7424"/>
    <w:rsid w:val="718F6928"/>
    <w:rsid w:val="78CA0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eastAsia="黑体" w:asciiTheme="majorHAnsi" w:hAnsiTheme="majorHAnsi" w:cstheme="majorBidi"/>
      <w:b/>
      <w:bCs/>
      <w:sz w:val="32"/>
      <w:szCs w:val="32"/>
    </w:rPr>
  </w:style>
  <w:style w:type="paragraph" w:styleId="4">
    <w:name w:val="heading 3"/>
    <w:basedOn w:val="1"/>
    <w:next w:val="1"/>
    <w:link w:val="17"/>
    <w:autoRedefine/>
    <w:unhideWhenUsed/>
    <w:qFormat/>
    <w:uiPriority w:val="9"/>
    <w:pPr>
      <w:keepNext/>
      <w:keepLines/>
      <w:spacing w:before="260" w:after="260" w:line="416" w:lineRule="auto"/>
      <w:outlineLvl w:val="2"/>
    </w:pPr>
    <w:rPr>
      <w:rFonts w:ascii="黑体" w:hAnsi="黑体" w:eastAsia="黑体"/>
      <w:b/>
      <w:bCs/>
      <w:sz w:val="32"/>
      <w:szCs w:val="28"/>
    </w:rPr>
  </w:style>
  <w:style w:type="paragraph" w:styleId="5">
    <w:name w:val="heading 4"/>
    <w:basedOn w:val="1"/>
    <w:next w:val="1"/>
    <w:link w:val="18"/>
    <w:unhideWhenUsed/>
    <w:qFormat/>
    <w:uiPriority w:val="9"/>
    <w:pPr>
      <w:keepNext/>
      <w:keepLines/>
      <w:spacing w:before="280" w:after="290" w:line="377" w:lineRule="auto"/>
      <w:ind w:left="200" w:leftChars="200"/>
      <w:outlineLvl w:val="3"/>
    </w:pPr>
    <w:rPr>
      <w:rFonts w:eastAsia="黑体" w:asciiTheme="majorHAnsi" w:hAnsiTheme="majorHAnsi" w:cstheme="majorBidi"/>
      <w:b/>
      <w:bCs/>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toolbarlabel"/>
    <w:basedOn w:val="10"/>
    <w:qFormat/>
    <w:uiPriority w:val="0"/>
  </w:style>
  <w:style w:type="character" w:customStyle="1" w:styleId="12">
    <w:name w:val="dropdowntoolbarbutton"/>
    <w:basedOn w:val="10"/>
    <w:qFormat/>
    <w:uiPriority w:val="0"/>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标题 1 Char"/>
    <w:basedOn w:val="10"/>
    <w:link w:val="2"/>
    <w:qFormat/>
    <w:uiPriority w:val="9"/>
    <w:rPr>
      <w:b/>
      <w:bCs/>
      <w:kern w:val="44"/>
      <w:sz w:val="44"/>
      <w:szCs w:val="44"/>
    </w:rPr>
  </w:style>
  <w:style w:type="character" w:customStyle="1" w:styleId="16">
    <w:name w:val="标题 2 Char"/>
    <w:basedOn w:val="10"/>
    <w:link w:val="3"/>
    <w:qFormat/>
    <w:uiPriority w:val="0"/>
    <w:rPr>
      <w:rFonts w:eastAsia="黑体" w:asciiTheme="majorHAnsi" w:hAnsiTheme="majorHAnsi" w:cstheme="majorBidi"/>
      <w:b/>
      <w:bCs/>
      <w:sz w:val="32"/>
      <w:szCs w:val="32"/>
    </w:rPr>
  </w:style>
  <w:style w:type="character" w:customStyle="1" w:styleId="17">
    <w:name w:val="标题 3 Char"/>
    <w:basedOn w:val="10"/>
    <w:link w:val="4"/>
    <w:qFormat/>
    <w:uiPriority w:val="9"/>
    <w:rPr>
      <w:rFonts w:ascii="黑体" w:hAnsi="黑体" w:eastAsia="黑体"/>
      <w:b/>
      <w:bCs/>
      <w:sz w:val="32"/>
      <w:szCs w:val="28"/>
    </w:rPr>
  </w:style>
  <w:style w:type="character" w:customStyle="1" w:styleId="18">
    <w:name w:val="标题 4 Char"/>
    <w:basedOn w:val="10"/>
    <w:link w:val="5"/>
    <w:qFormat/>
    <w:uiPriority w:val="9"/>
    <w:rPr>
      <w:rFonts w:eastAsia="黑体" w:asciiTheme="majorHAnsi" w:hAnsiTheme="majorHAnsi" w:cstheme="majorBidi"/>
      <w:b/>
      <w:bCs/>
      <w:sz w:val="28"/>
      <w:szCs w:val="28"/>
    </w:rPr>
  </w:style>
  <w:style w:type="character" w:customStyle="1" w:styleId="19">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20">
    <w:name w:val="Heading3"/>
    <w:basedOn w:val="1"/>
    <w:next w:val="1"/>
    <w:qFormat/>
    <w:uiPriority w:val="0"/>
    <w:pPr>
      <w:spacing w:line="600" w:lineRule="exact"/>
      <w:ind w:firstLine="640" w:firstLineChars="200"/>
      <w:textAlignment w:val="baseline"/>
    </w:pPr>
    <w:rPr>
      <w:rFonts w:ascii="黑体" w:hAnsi="黑体" w:eastAsia="黑体"/>
      <w:color w:val="000000"/>
      <w:sz w:val="32"/>
      <w:szCs w:val="32"/>
    </w:rPr>
  </w:style>
  <w:style w:type="character" w:customStyle="1" w:styleId="21">
    <w:name w:val="Char Char"/>
    <w:qFormat/>
    <w:uiPriority w:val="0"/>
    <w:rPr>
      <w:rFonts w:eastAsia="宋体"/>
      <w:kern w:val="2"/>
      <w:sz w:val="18"/>
      <w:lang w:val="en-US" w:eastAsia="zh-CN"/>
    </w:rPr>
  </w:style>
  <w:style w:type="paragraph" w:customStyle="1" w:styleId="2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B835F-02E3-4F48-8E1D-013E4A5AADFB}">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4174</Words>
  <Characters>4368</Characters>
  <Lines>94</Lines>
  <Paragraphs>26</Paragraphs>
  <TotalTime>0</TotalTime>
  <ScaleCrop>false</ScaleCrop>
  <LinksUpToDate>false</LinksUpToDate>
  <CharactersWithSpaces>4371</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2023-04-19T08:24:00Z</dcterms:created>
  <dc:creator>Lenovo</dc:creator>
  <cp:lastModifiedBy>JULY</cp:lastModifiedBy>
  <dcterms:modified xsi:type="dcterms:W3CDTF">2025-03-30T03:24:43Z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eyJoZGlkIjoiYzViYWIxNjBhZmFhYmEzZDI3YmVkODExMjE1NDJlMTUiLCJ1c2VySWQiOiI2NDU2NTU4MDAifQ==</vt:lpwstr>
  </property>
  <property fmtid="{D5CDD505-2E9C-101B-9397-08002B2CF9AE}" pid="3" name="KSOProductBuildVer">
    <vt:lpwstr>2052-12.1.0.20754</vt:lpwstr>
  </property>
  <property fmtid="{D5CDD505-2E9C-101B-9397-08002B2CF9AE}" pid="4" name="ICV">
    <vt:lpwstr>277DF000DB99478098B3343F0D5A5209_12</vt:lpwstr>
  </property>
</Properties>
</file>