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2681" w14:textId="26763719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273180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6D4E3E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37E1DF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李源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L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Yuan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E0F064" w14:textId="41085AA5" w:rsidR="005C6C7D" w:rsidRDefault="005C6C7D" w:rsidP="00FE604F">
            <w:pPr>
              <w:ind w:leftChars="-158" w:left="-332" w:firstLineChars="95" w:firstLine="143"/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76C2EE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C929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0757B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7EC96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79715A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029CA" w14:textId="4818C992" w:rsidR="005C6C7D" w:rsidRDefault="00C4373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FE401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1988. 8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AC7F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5363FF6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62186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0EF90" w14:textId="0AEACDE5" w:rsidR="000057A9" w:rsidRDefault="00B7154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35800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6DEBF0C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9A83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76714" w14:textId="24B006FB" w:rsidR="005C6C7D" w:rsidRPr="00FE604F" w:rsidRDefault="00FE604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</w:pPr>
            <w:r w:rsidRPr="00FE604F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天津城建大学建筑学院403室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A31F9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B96008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0DB8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2D722" w14:textId="207828A7" w:rsidR="005C6C7D" w:rsidRPr="00FE604F" w:rsidRDefault="00FE604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Cs/>
                <w:color w:val="376175"/>
                <w:sz w:val="14"/>
                <w:szCs w:val="14"/>
              </w:rPr>
            </w:pPr>
            <w:r w:rsidRPr="00F82EAB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lucubrator@163.com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40E51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90812F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F49B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B7899" w14:textId="4E7F35B0" w:rsidR="005C6C7D" w:rsidRPr="00C43739" w:rsidRDefault="00C4373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</w:pPr>
            <w:r w:rsidRPr="00C43739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13810290778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E693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D32834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5CC645A" w14:textId="788A4A0C" w:rsidR="005C6C7D" w:rsidRDefault="00C4373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FE604F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1FB7B964" wp14:editId="37AA9CE6">
                  <wp:simplePos x="0" y="0"/>
                  <wp:positionH relativeFrom="column">
                    <wp:posOffset>3907155</wp:posOffset>
                  </wp:positionH>
                  <wp:positionV relativeFrom="paragraph">
                    <wp:posOffset>-1519555</wp:posOffset>
                  </wp:positionV>
                  <wp:extent cx="1616075" cy="1948815"/>
                  <wp:effectExtent l="0" t="0" r="3175" b="0"/>
                  <wp:wrapNone/>
                  <wp:docPr id="5546395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05" t="19811" r="19519" b="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9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940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1B99D8BC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E2DF35" w14:textId="4B4E1FF3" w:rsidR="005C6C7D" w:rsidRDefault="00BE09BB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BE09B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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文化遗产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环境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的公众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感知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</w:t>
            </w:r>
            <w:r w:rsidR="00613B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计算</w:t>
            </w:r>
          </w:p>
        </w:tc>
      </w:tr>
      <w:tr w:rsidR="005C6C7D" w14:paraId="75B8B20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C6E1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4A54FEF7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82FA4A" w14:textId="14CDF48D" w:rsidR="00070C3C" w:rsidRPr="00070C3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（1）2007年9月-2011年6月，中国农业大学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（9</w:t>
            </w:r>
            <w:r w:rsidR="00F11D1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85/211/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双一流高校）</w:t>
            </w:r>
            <w:r w:rsidR="00F11D1E" w:rsidRP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，获学士学位</w:t>
            </w:r>
          </w:p>
          <w:p w14:paraId="35C8AE0B" w14:textId="1A55A079" w:rsidR="00070C3C" w:rsidRPr="00070C3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（2）2011年9月-2015年6月，中国农业大学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（9</w:t>
            </w:r>
            <w:r w:rsidR="00F11D1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85/211/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双一流高校）</w:t>
            </w:r>
            <w:r w:rsidR="00F11D1E" w:rsidRP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C437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F11D1E" w:rsidRP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4993E8C1" w14:textId="2165E348" w:rsidR="005C6C7D" w:rsidRPr="0016090C" w:rsidRDefault="00070C3C" w:rsidP="006933C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（3）2015年9月-2021年6月，中国农业大学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（9</w:t>
            </w:r>
            <w:r w:rsidR="00F11D1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85/211/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双一流高校）</w:t>
            </w:r>
            <w:r w:rsidR="00F11D1E" w:rsidRP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C437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F11D1E" w:rsidRP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03F2EB5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6352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1BFF458B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93A78D1" w14:textId="33737279" w:rsidR="005C6C7D" w:rsidRDefault="00324940" w:rsidP="00FE604F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7DAB65F5" w14:textId="3A9D1076" w:rsidR="00FE604F" w:rsidRDefault="00FE604F" w:rsidP="00FE604F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2025.</w:t>
            </w:r>
            <w:r w:rsidR="0000116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9-2026.</w:t>
            </w:r>
            <w:r w:rsidR="0000116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 清华大学</w:t>
            </w:r>
            <w:r w:rsidR="00B2136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 访问学者</w:t>
            </w:r>
          </w:p>
          <w:p w14:paraId="73399D19" w14:textId="3D211E88" w:rsidR="005C6C7D" w:rsidRPr="003838EA" w:rsidRDefault="00BE09BB" w:rsidP="00BE09B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</w:t>
            </w:r>
            <w:r w:rsidR="0000116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</w:t>
            </w:r>
            <w:r w:rsidR="00B2136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 讲师</w:t>
            </w:r>
          </w:p>
          <w:p w14:paraId="044CCA9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11058656" w14:textId="68A28DA9" w:rsidR="005C6C7D" w:rsidRPr="00BE09BB" w:rsidRDefault="00BE09BB" w:rsidP="00BE09B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2018.10-2019.10 意大利罗马大学</w:t>
            </w:r>
            <w:r w:rsidR="006933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建筑学院建筑历史、设计与修复系</w:t>
            </w:r>
            <w:r w:rsidR="006933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国家公派（CSC）联合培养</w:t>
            </w:r>
            <w:r w:rsidR="006933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博士生</w:t>
            </w:r>
          </w:p>
        </w:tc>
      </w:tr>
      <w:tr w:rsidR="005C6C7D" w14:paraId="614BE62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BB71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79C206A7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C8C56D" w14:textId="77777777" w:rsid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【本科生课程】</w:t>
            </w:r>
          </w:p>
          <w:p w14:paraId="2C4AB1FA" w14:textId="2756054B" w:rsidR="005C6C7D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设计基础、风景园林规划设计4、</w:t>
            </w:r>
            <w:r w:rsidRPr="003A2B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景观感知与场地调研方法</w:t>
            </w:r>
            <w:r w:rsid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FE604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</w:t>
            </w:r>
            <w:r w:rsid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专业外语、数字设计</w:t>
            </w:r>
          </w:p>
          <w:p w14:paraId="489A9352" w14:textId="77777777" w:rsid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研究生课程】</w:t>
            </w:r>
          </w:p>
          <w:p w14:paraId="6D127FE9" w14:textId="77777777" w:rsidR="005C6C7D" w:rsidRP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风景园林规划与设计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、人居环境研究方法论与应用</w:t>
            </w:r>
          </w:p>
        </w:tc>
      </w:tr>
      <w:tr w:rsidR="005C6C7D" w14:paraId="5C8F91A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5F33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4C860FF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65EA3EE" w14:textId="7B3F24A1" w:rsidR="00F11D1E" w:rsidRPr="00F11D1E" w:rsidRDefault="00F11D1E" w:rsidP="00F11D1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 获天津城建大学青年教师教学基本功竞赛 三等奖</w:t>
            </w:r>
          </w:p>
          <w:p w14:paraId="0AD41222" w14:textId="3776B70C" w:rsidR="005C6C7D" w:rsidRDefault="003838EA" w:rsidP="003838E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2016</w:t>
            </w:r>
            <w:r w:rsidR="00F11D1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57092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中国风景园林教育大会优秀论文奖（全国高等学校风景园林学科专业指导委员会颁发）</w:t>
            </w:r>
          </w:p>
        </w:tc>
      </w:tr>
      <w:tr w:rsidR="005C6C7D" w14:paraId="5AA5160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DC46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1EFB605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36F5" w14:textId="77777777" w:rsidR="005C6C7D" w:rsidRDefault="00324940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6C0D9DC1" w14:textId="5AEB13D0" w:rsidR="00C43739" w:rsidRDefault="00C43739" w:rsidP="00C43739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</w:t>
            </w:r>
            <w:r w:rsidRPr="00C437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教育部社会科学司, 教育部人文社会科学研究规划基金一般项目, 25YJAZH069, 数字人文视域下运河文化基因智能解析与景观规划协同机制研究, 2026-01 至今, 在</w:t>
            </w:r>
            <w:proofErr w:type="gramStart"/>
            <w:r w:rsidRPr="00C437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C4373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3B652074" w14:textId="2A759262" w:rsidR="00D66554" w:rsidRDefault="00D66554" w:rsidP="00C43739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（2）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天津市教育委员会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天津市教委社科项目重大项目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2025JWZD41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gramStart"/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津派文化</w:t>
            </w:r>
            <w:proofErr w:type="gramEnd"/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知识图谱构建与智能传播应用研究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2026-01至今，在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F82E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F82E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人</w:t>
            </w:r>
          </w:p>
          <w:p w14:paraId="6F020E9B" w14:textId="4868C391" w:rsidR="00070C3C" w:rsidRPr="00070C3C" w:rsidRDefault="00C4373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C92F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天津市教育委员会, 人文社科一般项目, 2024SK057, 基于多</w:t>
            </w:r>
            <w:proofErr w:type="gramStart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源数据</w:t>
            </w:r>
            <w:proofErr w:type="gramEnd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的大运河天津段滨水绿地文化服务价值识别与感知评价, 2025-01 至今, 在</w:t>
            </w:r>
            <w:proofErr w:type="gramStart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主持</w:t>
            </w:r>
          </w:p>
          <w:p w14:paraId="61159698" w14:textId="3D0B9D57" w:rsidR="00070C3C" w:rsidRPr="00070C3C" w:rsidRDefault="00C4373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C92F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天津市哲学社会科学工作办公室, 一般项目, TJGL24-012, 中国式现代化背景下天津运河文化遗产阐释方法与展示路径研究, 2024-12 至今, 在</w:t>
            </w:r>
            <w:proofErr w:type="gramStart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="00F82E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第二</w:t>
            </w:r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F82EA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人</w:t>
            </w:r>
          </w:p>
          <w:p w14:paraId="028806C3" w14:textId="33888D8C" w:rsidR="005C6C7D" w:rsidRDefault="00C4373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C92F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天津市艺术科学规划办公室, 一般项目, A22039, 大运河（天津段）文化遗产可持续发展策略研究,</w:t>
            </w:r>
            <w:r w:rsid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2021-11 至今, 在</w:t>
            </w:r>
            <w:proofErr w:type="gramStart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="00070C3C"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5AB7E3FA" w14:textId="75E01632" w:rsidR="00075C29" w:rsidRDefault="00C4373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C92F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天津市教育委员会, 人文社科一般项目, 2022SK088, 基于冬夏热舒适阈值的天津海河滨水休憩空间优化策略研究, 2023-01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2D3918AD" w14:textId="620B83EE" w:rsidR="00C43739" w:rsidRDefault="00C4373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（</w:t>
            </w:r>
            <w:r w:rsidR="00C92FD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天津市教育委员会, 人文社科一般项目, 2024SK058, 文化韧性视角下的天津运河文化遗产“焕活”机制与路径研究, 2025-01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193D1FB0" w14:textId="77777777" w:rsidR="00D66554" w:rsidRPr="00C43739" w:rsidRDefault="00D66554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37780B55" w14:textId="77777777" w:rsidR="005C6C7D" w:rsidRDefault="00324940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206299D" w14:textId="792E53B1" w:rsidR="003838EA" w:rsidRDefault="006933CC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</w:t>
            </w:r>
            <w:r w:rsidRPr="006933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山西省住房和城乡建设厅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933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山西省历史文化名城社会经济价值评估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</w:t>
            </w:r>
            <w:r w:rsidR="00B776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 w:rsidR="00B776C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1-2025.12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，参与</w:t>
            </w:r>
          </w:p>
          <w:p w14:paraId="135780F8" w14:textId="7EF0DBD4" w:rsidR="00D66554" w:rsidRPr="00D66554" w:rsidRDefault="00D66554" w:rsidP="00D66554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（2）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天津市社会科学界联合会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天津市社科联调研项目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D6655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海河历史文化街区“低空文旅资源”的调查、开发与利用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2025.03-2025.09, 参与</w:t>
            </w:r>
          </w:p>
        </w:tc>
      </w:tr>
      <w:tr w:rsidR="005C6C7D" w14:paraId="57611C7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CABD6E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19E9BF1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DB6F4" w14:textId="77777777" w:rsidR="003838EA" w:rsidRDefault="00324940" w:rsidP="00D66554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481D20ED" w14:textId="0F3306C6" w:rsidR="00D66554" w:rsidRDefault="00D66554" w:rsidP="00D66554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[1] </w:t>
            </w:r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从艺术家介入到艺术介入：</w:t>
            </w:r>
            <w:proofErr w:type="gramStart"/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上下苑村生活空间</w:t>
            </w:r>
            <w:proofErr w:type="gramEnd"/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的绅士化演变研究.小城镇建设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2024(09)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:82-90.</w:t>
            </w:r>
          </w:p>
          <w:p w14:paraId="20F05FC1" w14:textId="0BF2FB26" w:rsidR="00D66554" w:rsidRDefault="00D66554" w:rsidP="00D66554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[2] </w:t>
            </w:r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国外城市中心商务区的公共艺术建设模式研究——以纽约、巴黎、东京为例.华中建筑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2023(10)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:51-55.</w:t>
            </w:r>
          </w:p>
          <w:p w14:paraId="2EB0918C" w14:textId="3855A33F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城市运河文化景观的公众意象感知——以扬州为例.风景园林,2023,30(02):89-96.</w:t>
            </w:r>
          </w:p>
          <w:p w14:paraId="46CC78B5" w14:textId="543E9DD1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北京园林寺庙景观的公众认知与体验评价研究——以潭</w:t>
            </w:r>
            <w:proofErr w:type="gramStart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柘</w:t>
            </w:r>
            <w:proofErr w:type="gramEnd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寺、八大处、大觉寺和红螺寺为例. 中国园林.2020,36(12):95-100.</w:t>
            </w:r>
          </w:p>
          <w:p w14:paraId="2D3F9138" w14:textId="0CA6DDFD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 风景意象的“诗化”再现——明代北京佛寺园林的景观认知[J].风景园林,2022,29(04):128-133.</w:t>
            </w:r>
          </w:p>
          <w:p w14:paraId="7AB2E689" w14:textId="02D3E2D3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北京中心城区宗教遗产空间的现代转型与景观表征——以汉传佛教文物保护单位为例[J].华中建筑,2022,40(01):95-99.</w:t>
            </w:r>
          </w:p>
          <w:p w14:paraId="3C4303C4" w14:textId="513ACEEC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 Assessment of Online Public Opinion on Historical Gardens[C</w:t>
            </w:r>
            <w:proofErr w:type="gramStart"/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].Proceedings</w:t>
            </w:r>
            <w:proofErr w:type="gramEnd"/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of 55th IFLA Conference. Singapore, 2018:1487-1495.</w:t>
            </w:r>
          </w:p>
          <w:p w14:paraId="71F4428D" w14:textId="0896A09E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情感与记忆的转置——大众视角下历史园林的媒体表征[C]. 中国建筑学会建筑与文化委员会2017年国际学术讨论会论文集.苏州, 2017:73-77.</w:t>
            </w:r>
          </w:p>
          <w:p w14:paraId="42AA1EF2" w14:textId="32D4A2D9" w:rsidR="005C6C7D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D665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权力视角下的北京汉传佛寺空间</w:t>
            </w:r>
            <w:proofErr w:type="gramStart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演变再</w:t>
            </w:r>
            <w:proofErr w:type="gramEnd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审视[C].中国风景园林学会2017年会议论文集.西安, 2017(10):16-21.</w:t>
            </w:r>
          </w:p>
          <w:p w14:paraId="13721058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7537A0B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50CE" w14:textId="77777777" w:rsidR="00CB0EEC" w:rsidRDefault="00CB0EEC" w:rsidP="00426C61">
      <w:r>
        <w:separator/>
      </w:r>
    </w:p>
  </w:endnote>
  <w:endnote w:type="continuationSeparator" w:id="0">
    <w:p w14:paraId="562B15B5" w14:textId="77777777" w:rsidR="00CB0EEC" w:rsidRDefault="00CB0EEC" w:rsidP="0042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EF28" w14:textId="77777777" w:rsidR="00CB0EEC" w:rsidRDefault="00CB0EEC" w:rsidP="00426C61">
      <w:r>
        <w:separator/>
      </w:r>
    </w:p>
  </w:footnote>
  <w:footnote w:type="continuationSeparator" w:id="0">
    <w:p w14:paraId="18FD8020" w14:textId="77777777" w:rsidR="00CB0EEC" w:rsidRDefault="00CB0EEC" w:rsidP="0042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116C"/>
    <w:rsid w:val="000057A9"/>
    <w:rsid w:val="0004427E"/>
    <w:rsid w:val="00070C3C"/>
    <w:rsid w:val="00075C29"/>
    <w:rsid w:val="00157F0C"/>
    <w:rsid w:val="0016090C"/>
    <w:rsid w:val="001C7E3E"/>
    <w:rsid w:val="001F295B"/>
    <w:rsid w:val="00236398"/>
    <w:rsid w:val="002436C1"/>
    <w:rsid w:val="00262D44"/>
    <w:rsid w:val="002F2E2E"/>
    <w:rsid w:val="00324940"/>
    <w:rsid w:val="00327589"/>
    <w:rsid w:val="0035026F"/>
    <w:rsid w:val="00380A29"/>
    <w:rsid w:val="003838EA"/>
    <w:rsid w:val="003A2B61"/>
    <w:rsid w:val="003D1F5D"/>
    <w:rsid w:val="00426C61"/>
    <w:rsid w:val="00513211"/>
    <w:rsid w:val="00570925"/>
    <w:rsid w:val="005C6C7D"/>
    <w:rsid w:val="0060227C"/>
    <w:rsid w:val="00613B4A"/>
    <w:rsid w:val="006226D7"/>
    <w:rsid w:val="00627EAE"/>
    <w:rsid w:val="00634A25"/>
    <w:rsid w:val="006933CC"/>
    <w:rsid w:val="006B68C1"/>
    <w:rsid w:val="00781C7B"/>
    <w:rsid w:val="007B0AE8"/>
    <w:rsid w:val="007B7885"/>
    <w:rsid w:val="007E5EF5"/>
    <w:rsid w:val="00876016"/>
    <w:rsid w:val="00896C0F"/>
    <w:rsid w:val="008B0911"/>
    <w:rsid w:val="008B1C99"/>
    <w:rsid w:val="008C6531"/>
    <w:rsid w:val="008F0791"/>
    <w:rsid w:val="00954697"/>
    <w:rsid w:val="009677A4"/>
    <w:rsid w:val="009A4937"/>
    <w:rsid w:val="00A75626"/>
    <w:rsid w:val="00AB1553"/>
    <w:rsid w:val="00AC55DE"/>
    <w:rsid w:val="00AF6AB1"/>
    <w:rsid w:val="00B2136C"/>
    <w:rsid w:val="00B23BBA"/>
    <w:rsid w:val="00B45D2A"/>
    <w:rsid w:val="00B7154A"/>
    <w:rsid w:val="00B776C5"/>
    <w:rsid w:val="00BC2A83"/>
    <w:rsid w:val="00BE09BB"/>
    <w:rsid w:val="00C159C9"/>
    <w:rsid w:val="00C43739"/>
    <w:rsid w:val="00C840DD"/>
    <w:rsid w:val="00C92FD4"/>
    <w:rsid w:val="00CB0EEC"/>
    <w:rsid w:val="00D66554"/>
    <w:rsid w:val="00DA2BDA"/>
    <w:rsid w:val="00DD6CA0"/>
    <w:rsid w:val="00E04D0E"/>
    <w:rsid w:val="00E34AD8"/>
    <w:rsid w:val="00E842D1"/>
    <w:rsid w:val="00EE2E06"/>
    <w:rsid w:val="00EF042C"/>
    <w:rsid w:val="00F11D1E"/>
    <w:rsid w:val="00F82EAB"/>
    <w:rsid w:val="00FE2C26"/>
    <w:rsid w:val="00FE604F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20FAA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66554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D66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867</Words>
  <Characters>1207</Characters>
  <Application>Microsoft Office Word</Application>
  <DocSecurity>0</DocSecurity>
  <Lines>50</Lines>
  <Paragraphs>62</Paragraphs>
  <ScaleCrop>false</ScaleCrop>
  <Company>xtz.kuaimaxt.cn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Yuan Li</cp:lastModifiedBy>
  <cp:revision>10</cp:revision>
  <dcterms:created xsi:type="dcterms:W3CDTF">2025-06-30T04:48:00Z</dcterms:created>
  <dcterms:modified xsi:type="dcterms:W3CDTF">2026-04-02T00:28:00Z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